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47"/>
        <w:gridCol w:w="1603"/>
        <w:gridCol w:w="6462"/>
        <w:gridCol w:w="2300"/>
        <w:gridCol w:w="1222"/>
        <w:gridCol w:w="1440"/>
      </w:tblGrid>
      <w:tr w14:paraId="233F44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04" w:type="pct"/>
            <w:tcBorders>
              <w:top w:val="nil"/>
              <w:left w:val="nil"/>
              <w:bottom w:val="nil"/>
              <w:right w:val="nil"/>
            </w:tcBorders>
            <w:noWrap/>
            <w:vAlign w:val="center"/>
          </w:tcPr>
          <w:p w14:paraId="2C2089E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附件1</w:t>
            </w:r>
          </w:p>
        </w:tc>
        <w:tc>
          <w:tcPr>
            <w:tcW w:w="565" w:type="pct"/>
            <w:tcBorders>
              <w:top w:val="nil"/>
              <w:left w:val="nil"/>
              <w:bottom w:val="nil"/>
              <w:right w:val="nil"/>
            </w:tcBorders>
            <w:noWrap/>
            <w:vAlign w:val="center"/>
          </w:tcPr>
          <w:p w14:paraId="11885EE6">
            <w:pPr>
              <w:rPr>
                <w:rFonts w:hint="eastAsia" w:ascii="宋体" w:hAnsi="宋体" w:eastAsia="宋体" w:cs="宋体"/>
                <w:i w:val="0"/>
                <w:color w:val="000000"/>
                <w:sz w:val="22"/>
                <w:szCs w:val="22"/>
                <w:u w:val="none"/>
              </w:rPr>
            </w:pPr>
          </w:p>
        </w:tc>
        <w:tc>
          <w:tcPr>
            <w:tcW w:w="2279" w:type="pct"/>
            <w:tcBorders>
              <w:top w:val="nil"/>
              <w:left w:val="nil"/>
              <w:bottom w:val="nil"/>
              <w:right w:val="nil"/>
            </w:tcBorders>
            <w:noWrap/>
            <w:vAlign w:val="center"/>
          </w:tcPr>
          <w:p w14:paraId="5820B8D8">
            <w:pPr>
              <w:rPr>
                <w:rFonts w:hint="eastAsia" w:ascii="宋体" w:hAnsi="宋体" w:eastAsia="宋体" w:cs="宋体"/>
                <w:i w:val="0"/>
                <w:color w:val="000000"/>
                <w:sz w:val="22"/>
                <w:szCs w:val="22"/>
                <w:u w:val="none"/>
              </w:rPr>
            </w:pPr>
          </w:p>
        </w:tc>
        <w:tc>
          <w:tcPr>
            <w:tcW w:w="811" w:type="pct"/>
            <w:tcBorders>
              <w:top w:val="nil"/>
              <w:left w:val="nil"/>
              <w:bottom w:val="nil"/>
              <w:right w:val="nil"/>
            </w:tcBorders>
            <w:noWrap/>
            <w:vAlign w:val="center"/>
          </w:tcPr>
          <w:p w14:paraId="02F9D5A3">
            <w:pPr>
              <w:rPr>
                <w:rFonts w:hint="eastAsia" w:ascii="宋体" w:hAnsi="宋体" w:eastAsia="宋体" w:cs="宋体"/>
                <w:i w:val="0"/>
                <w:color w:val="000000"/>
                <w:sz w:val="22"/>
                <w:szCs w:val="22"/>
                <w:u w:val="none"/>
              </w:rPr>
            </w:pPr>
          </w:p>
        </w:tc>
        <w:tc>
          <w:tcPr>
            <w:tcW w:w="431" w:type="pct"/>
            <w:tcBorders>
              <w:top w:val="nil"/>
              <w:left w:val="nil"/>
              <w:bottom w:val="nil"/>
              <w:right w:val="nil"/>
            </w:tcBorders>
            <w:noWrap/>
            <w:vAlign w:val="center"/>
          </w:tcPr>
          <w:p w14:paraId="36C64D1A">
            <w:pPr>
              <w:rPr>
                <w:rFonts w:hint="eastAsia" w:ascii="宋体" w:hAnsi="宋体" w:eastAsia="宋体" w:cs="宋体"/>
                <w:i w:val="0"/>
                <w:color w:val="000000"/>
                <w:sz w:val="22"/>
                <w:szCs w:val="22"/>
                <w:u w:val="none"/>
              </w:rPr>
            </w:pPr>
          </w:p>
        </w:tc>
        <w:tc>
          <w:tcPr>
            <w:tcW w:w="507" w:type="pct"/>
            <w:tcBorders>
              <w:top w:val="nil"/>
              <w:left w:val="nil"/>
              <w:bottom w:val="nil"/>
              <w:right w:val="nil"/>
            </w:tcBorders>
            <w:noWrap/>
            <w:vAlign w:val="center"/>
          </w:tcPr>
          <w:p w14:paraId="6B395AD0">
            <w:pPr>
              <w:rPr>
                <w:rFonts w:hint="eastAsia" w:ascii="宋体" w:hAnsi="宋体" w:eastAsia="宋体" w:cs="宋体"/>
                <w:i w:val="0"/>
                <w:color w:val="000000"/>
                <w:sz w:val="22"/>
                <w:szCs w:val="22"/>
                <w:u w:val="none"/>
              </w:rPr>
            </w:pPr>
          </w:p>
        </w:tc>
      </w:tr>
      <w:tr w14:paraId="600C53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404" w:type="pct"/>
            <w:tcBorders>
              <w:top w:val="nil"/>
              <w:left w:val="nil"/>
              <w:bottom w:val="nil"/>
              <w:right w:val="nil"/>
            </w:tcBorders>
            <w:noWrap/>
            <w:vAlign w:val="center"/>
          </w:tcPr>
          <w:p w14:paraId="18A4C0B7">
            <w:pPr>
              <w:rPr>
                <w:rFonts w:hint="eastAsia" w:ascii="宋体" w:hAnsi="宋体" w:eastAsia="宋体" w:cs="宋体"/>
                <w:i w:val="0"/>
                <w:color w:val="000000"/>
                <w:sz w:val="22"/>
                <w:szCs w:val="22"/>
                <w:u w:val="none"/>
              </w:rPr>
            </w:pPr>
          </w:p>
        </w:tc>
        <w:tc>
          <w:tcPr>
            <w:tcW w:w="4595" w:type="pct"/>
            <w:gridSpan w:val="5"/>
            <w:tcBorders>
              <w:top w:val="nil"/>
              <w:left w:val="nil"/>
              <w:bottom w:val="nil"/>
              <w:right w:val="nil"/>
            </w:tcBorders>
            <w:noWrap/>
            <w:vAlign w:val="center"/>
          </w:tcPr>
          <w:p w14:paraId="333E04B9">
            <w:pPr>
              <w:keepNext w:val="0"/>
              <w:keepLines w:val="0"/>
              <w:widowControl/>
              <w:suppressLineNumbers w:val="0"/>
              <w:jc w:val="center"/>
              <w:textAlignment w:val="center"/>
              <w:rPr>
                <w:rFonts w:hint="eastAsia" w:ascii="宋体" w:hAnsi="宋体" w:eastAsia="宋体" w:cs="宋体"/>
                <w:i w:val="0"/>
                <w:color w:val="000000"/>
                <w:sz w:val="40"/>
                <w:szCs w:val="40"/>
                <w:u w:val="none"/>
              </w:rPr>
            </w:pPr>
            <w:r>
              <w:rPr>
                <w:rFonts w:hint="eastAsia" w:ascii="宋体" w:hAnsi="宋体" w:eastAsia="宋体" w:cs="宋体"/>
                <w:i w:val="0"/>
                <w:color w:val="000000"/>
                <w:kern w:val="0"/>
                <w:sz w:val="40"/>
                <w:szCs w:val="40"/>
                <w:u w:val="none"/>
                <w:lang w:val="en-US" w:eastAsia="zh-CN" w:bidi="ar"/>
              </w:rPr>
              <w:t>贯彻落实《盂县提振消费专项行动任务分工方案》工作台账</w:t>
            </w:r>
          </w:p>
        </w:tc>
      </w:tr>
      <w:tr w14:paraId="5DBA21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4" w:type="pct"/>
            <w:tcBorders>
              <w:top w:val="single" w:color="000000" w:sz="4" w:space="0"/>
              <w:left w:val="single" w:color="000000" w:sz="4" w:space="0"/>
              <w:bottom w:val="single" w:color="000000" w:sz="4" w:space="0"/>
              <w:right w:val="single" w:color="000000" w:sz="4" w:space="0"/>
            </w:tcBorders>
            <w:noWrap/>
            <w:vAlign w:val="center"/>
          </w:tcPr>
          <w:p w14:paraId="31E55AC1">
            <w:pPr>
              <w:keepNext w:val="0"/>
              <w:keepLines w:val="0"/>
              <w:widowControl/>
              <w:suppressLineNumbers w:val="0"/>
              <w:jc w:val="center"/>
              <w:textAlignment w:val="center"/>
              <w:rPr>
                <w:rFonts w:ascii="黑体" w:hAnsi="宋体" w:eastAsia="黑体" w:cs="黑体"/>
                <w:i w:val="0"/>
                <w:color w:val="000000"/>
                <w:sz w:val="21"/>
                <w:szCs w:val="21"/>
                <w:u w:val="none"/>
              </w:rPr>
            </w:pPr>
            <w:r>
              <w:rPr>
                <w:rFonts w:hint="eastAsia" w:ascii="黑体" w:hAnsi="宋体" w:eastAsia="黑体" w:cs="黑体"/>
                <w:i w:val="0"/>
                <w:color w:val="000000"/>
                <w:kern w:val="0"/>
                <w:sz w:val="21"/>
                <w:szCs w:val="21"/>
                <w:u w:val="none"/>
                <w:lang w:val="en-US" w:eastAsia="zh-CN" w:bidi="ar"/>
              </w:rPr>
              <w:t>序号</w:t>
            </w:r>
          </w:p>
        </w:tc>
        <w:tc>
          <w:tcPr>
            <w:tcW w:w="565" w:type="pct"/>
            <w:tcBorders>
              <w:top w:val="single" w:color="000000" w:sz="4" w:space="0"/>
              <w:left w:val="single" w:color="000000" w:sz="4" w:space="0"/>
              <w:bottom w:val="single" w:color="000000" w:sz="4" w:space="0"/>
              <w:right w:val="single" w:color="000000" w:sz="4" w:space="0"/>
            </w:tcBorders>
            <w:noWrap/>
            <w:vAlign w:val="center"/>
          </w:tcPr>
          <w:p w14:paraId="228AA869">
            <w:pPr>
              <w:keepNext w:val="0"/>
              <w:keepLines w:val="0"/>
              <w:widowControl/>
              <w:suppressLineNumbers w:val="0"/>
              <w:jc w:val="center"/>
              <w:textAlignment w:val="center"/>
              <w:rPr>
                <w:rFonts w:hint="eastAsia" w:ascii="黑体" w:hAnsi="宋体" w:eastAsia="黑体" w:cs="黑体"/>
                <w:i w:val="0"/>
                <w:color w:val="000000"/>
                <w:sz w:val="21"/>
                <w:szCs w:val="21"/>
                <w:u w:val="none"/>
              </w:rPr>
            </w:pPr>
            <w:r>
              <w:rPr>
                <w:rFonts w:hint="eastAsia" w:ascii="黑体" w:hAnsi="宋体" w:eastAsia="黑体" w:cs="黑体"/>
                <w:i w:val="0"/>
                <w:color w:val="000000"/>
                <w:kern w:val="0"/>
                <w:sz w:val="21"/>
                <w:szCs w:val="21"/>
                <w:u w:val="none"/>
                <w:lang w:val="en-US" w:eastAsia="zh-CN" w:bidi="ar"/>
              </w:rPr>
              <w:t>责任单位</w:t>
            </w:r>
          </w:p>
        </w:tc>
        <w:tc>
          <w:tcPr>
            <w:tcW w:w="2279" w:type="pct"/>
            <w:tcBorders>
              <w:top w:val="single" w:color="000000" w:sz="4" w:space="0"/>
              <w:left w:val="single" w:color="000000" w:sz="4" w:space="0"/>
              <w:bottom w:val="single" w:color="000000" w:sz="4" w:space="0"/>
              <w:right w:val="single" w:color="000000" w:sz="4" w:space="0"/>
            </w:tcBorders>
            <w:noWrap/>
            <w:vAlign w:val="center"/>
          </w:tcPr>
          <w:p w14:paraId="3D50CAD4">
            <w:pPr>
              <w:keepNext w:val="0"/>
              <w:keepLines w:val="0"/>
              <w:widowControl/>
              <w:suppressLineNumbers w:val="0"/>
              <w:jc w:val="center"/>
              <w:textAlignment w:val="center"/>
              <w:rPr>
                <w:rFonts w:hint="eastAsia" w:ascii="黑体" w:hAnsi="宋体" w:eastAsia="黑体" w:cs="黑体"/>
                <w:i w:val="0"/>
                <w:color w:val="000000"/>
                <w:sz w:val="21"/>
                <w:szCs w:val="21"/>
                <w:u w:val="none"/>
              </w:rPr>
            </w:pPr>
            <w:r>
              <w:rPr>
                <w:rFonts w:hint="eastAsia" w:ascii="黑体" w:hAnsi="宋体" w:eastAsia="黑体" w:cs="黑体"/>
                <w:i w:val="0"/>
                <w:color w:val="000000"/>
                <w:kern w:val="0"/>
                <w:sz w:val="21"/>
                <w:szCs w:val="21"/>
                <w:u w:val="none"/>
                <w:lang w:val="en-US" w:eastAsia="zh-CN" w:bidi="ar"/>
              </w:rPr>
              <w:t>工作任务</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08A42556">
            <w:pPr>
              <w:keepNext w:val="0"/>
              <w:keepLines w:val="0"/>
              <w:widowControl/>
              <w:suppressLineNumbers w:val="0"/>
              <w:jc w:val="center"/>
              <w:textAlignment w:val="center"/>
              <w:rPr>
                <w:rFonts w:hint="eastAsia" w:ascii="黑体" w:hAnsi="宋体" w:eastAsia="黑体" w:cs="黑体"/>
                <w:i w:val="0"/>
                <w:color w:val="000000"/>
                <w:sz w:val="21"/>
                <w:szCs w:val="21"/>
                <w:u w:val="none"/>
              </w:rPr>
            </w:pPr>
            <w:r>
              <w:rPr>
                <w:rFonts w:hint="eastAsia" w:ascii="黑体" w:hAnsi="宋体" w:eastAsia="黑体" w:cs="黑体"/>
                <w:i w:val="0"/>
                <w:color w:val="000000"/>
                <w:kern w:val="0"/>
                <w:sz w:val="21"/>
                <w:szCs w:val="21"/>
                <w:u w:val="none"/>
                <w:lang w:val="en-US" w:eastAsia="zh-CN" w:bidi="ar"/>
              </w:rPr>
              <w:t>工作进展及取得经验</w:t>
            </w: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66861E6A">
            <w:pPr>
              <w:keepNext w:val="0"/>
              <w:keepLines w:val="0"/>
              <w:widowControl/>
              <w:suppressLineNumbers w:val="0"/>
              <w:jc w:val="center"/>
              <w:textAlignment w:val="center"/>
              <w:rPr>
                <w:rFonts w:hint="eastAsia" w:ascii="黑体" w:hAnsi="宋体" w:eastAsia="黑体" w:cs="黑体"/>
                <w:i w:val="0"/>
                <w:color w:val="000000"/>
                <w:sz w:val="21"/>
                <w:szCs w:val="21"/>
                <w:u w:val="none"/>
              </w:rPr>
            </w:pPr>
            <w:r>
              <w:rPr>
                <w:rFonts w:hint="eastAsia" w:ascii="黑体" w:hAnsi="宋体" w:eastAsia="黑体" w:cs="黑体"/>
                <w:i w:val="0"/>
                <w:color w:val="000000"/>
                <w:kern w:val="0"/>
                <w:sz w:val="21"/>
                <w:szCs w:val="21"/>
                <w:u w:val="none"/>
                <w:lang w:val="en-US" w:eastAsia="zh-CN" w:bidi="ar"/>
              </w:rPr>
              <w:t>存在问题</w:t>
            </w: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33939645">
            <w:pPr>
              <w:keepNext w:val="0"/>
              <w:keepLines w:val="0"/>
              <w:widowControl/>
              <w:suppressLineNumbers w:val="0"/>
              <w:jc w:val="center"/>
              <w:textAlignment w:val="center"/>
              <w:rPr>
                <w:rFonts w:hint="eastAsia" w:ascii="黑体" w:hAnsi="宋体" w:eastAsia="黑体" w:cs="黑体"/>
                <w:i w:val="0"/>
                <w:color w:val="000000"/>
                <w:sz w:val="21"/>
                <w:szCs w:val="21"/>
                <w:u w:val="none"/>
              </w:rPr>
            </w:pPr>
            <w:r>
              <w:rPr>
                <w:rFonts w:hint="eastAsia" w:ascii="黑体" w:hAnsi="宋体" w:eastAsia="黑体" w:cs="黑体"/>
                <w:i w:val="0"/>
                <w:color w:val="000000"/>
                <w:kern w:val="0"/>
                <w:sz w:val="21"/>
                <w:szCs w:val="21"/>
                <w:u w:val="none"/>
                <w:lang w:val="en-US" w:eastAsia="zh-CN" w:bidi="ar"/>
              </w:rPr>
              <w:t>下一步举措</w:t>
            </w:r>
          </w:p>
        </w:tc>
      </w:tr>
      <w:tr w14:paraId="76CDE6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404" w:type="pct"/>
            <w:vMerge w:val="restart"/>
            <w:tcBorders>
              <w:top w:val="single" w:color="000000" w:sz="4" w:space="0"/>
              <w:left w:val="single" w:color="000000" w:sz="4" w:space="0"/>
              <w:bottom w:val="nil"/>
              <w:right w:val="single" w:color="000000" w:sz="4" w:space="0"/>
            </w:tcBorders>
            <w:noWrap/>
            <w:vAlign w:val="center"/>
          </w:tcPr>
          <w:p w14:paraId="609963B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w:t>
            </w:r>
          </w:p>
        </w:tc>
        <w:tc>
          <w:tcPr>
            <w:tcW w:w="565" w:type="pct"/>
            <w:vMerge w:val="restart"/>
            <w:tcBorders>
              <w:top w:val="single" w:color="000000" w:sz="4" w:space="0"/>
              <w:left w:val="single" w:color="000000" w:sz="4" w:space="0"/>
              <w:bottom w:val="single" w:color="000000" w:sz="4" w:space="0"/>
              <w:right w:val="single" w:color="000000" w:sz="4" w:space="0"/>
            </w:tcBorders>
            <w:noWrap/>
            <w:vAlign w:val="center"/>
          </w:tcPr>
          <w:p w14:paraId="71AD560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县发改局</w:t>
            </w: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1726757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鼓励以工代赈项目的责任单位采用灵活方式发包，拓展以工代赈政策实施范围，扩大劳务报酬发放规模，促进群众就地就近就业增收。</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18EF7065">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47AA88BC">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17987E63">
            <w:pPr>
              <w:rPr>
                <w:rFonts w:hint="eastAsia" w:ascii="宋体" w:hAnsi="宋体" w:eastAsia="宋体" w:cs="宋体"/>
                <w:i w:val="0"/>
                <w:color w:val="000000"/>
                <w:sz w:val="22"/>
                <w:szCs w:val="22"/>
                <w:u w:val="none"/>
              </w:rPr>
            </w:pPr>
          </w:p>
        </w:tc>
      </w:tr>
      <w:tr w14:paraId="64E0F1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404" w:type="pct"/>
            <w:vMerge w:val="continue"/>
            <w:tcBorders>
              <w:top w:val="single" w:color="000000" w:sz="4" w:space="0"/>
              <w:left w:val="single" w:color="000000" w:sz="4" w:space="0"/>
              <w:bottom w:val="nil"/>
              <w:right w:val="single" w:color="000000" w:sz="4" w:space="0"/>
            </w:tcBorders>
            <w:noWrap/>
            <w:vAlign w:val="center"/>
          </w:tcPr>
          <w:p w14:paraId="0B165FE4">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2C0CFBD0">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56619D2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加强产销精准对接，持续扩大消费帮扶规模。</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68937EB9">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2D71DD5D">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2745C526">
            <w:pPr>
              <w:rPr>
                <w:rFonts w:hint="eastAsia" w:ascii="宋体" w:hAnsi="宋体" w:eastAsia="宋体" w:cs="宋体"/>
                <w:i w:val="0"/>
                <w:color w:val="000000"/>
                <w:sz w:val="22"/>
                <w:szCs w:val="22"/>
                <w:u w:val="none"/>
              </w:rPr>
            </w:pPr>
          </w:p>
        </w:tc>
      </w:tr>
      <w:tr w14:paraId="5144B9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404" w:type="pct"/>
            <w:vMerge w:val="continue"/>
            <w:tcBorders>
              <w:top w:val="single" w:color="000000" w:sz="4" w:space="0"/>
              <w:left w:val="single" w:color="000000" w:sz="4" w:space="0"/>
              <w:bottom w:val="nil"/>
              <w:right w:val="single" w:color="000000" w:sz="4" w:space="0"/>
            </w:tcBorders>
            <w:noWrap/>
            <w:vAlign w:val="center"/>
          </w:tcPr>
          <w:p w14:paraId="3216768D">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5C25302F">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335029F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鼓励盂县航空飞行营地完善基础设施，推动航空旅游项目发展，打造多样化、差异化低空飞行旅游产品。</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6BE30058">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212BDA8E">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7DE41411">
            <w:pPr>
              <w:rPr>
                <w:rFonts w:hint="eastAsia" w:ascii="宋体" w:hAnsi="宋体" w:eastAsia="宋体" w:cs="宋体"/>
                <w:i w:val="0"/>
                <w:color w:val="000000"/>
                <w:sz w:val="22"/>
                <w:szCs w:val="22"/>
                <w:u w:val="none"/>
              </w:rPr>
            </w:pPr>
          </w:p>
        </w:tc>
      </w:tr>
      <w:tr w14:paraId="42D4B5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404" w:type="pct"/>
            <w:vMerge w:val="continue"/>
            <w:tcBorders>
              <w:top w:val="single" w:color="000000" w:sz="4" w:space="0"/>
              <w:left w:val="single" w:color="000000" w:sz="4" w:space="0"/>
              <w:bottom w:val="nil"/>
              <w:right w:val="single" w:color="000000" w:sz="4" w:space="0"/>
            </w:tcBorders>
            <w:noWrap/>
            <w:vAlign w:val="center"/>
          </w:tcPr>
          <w:p w14:paraId="5B363276">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500F8595">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4311D18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加快完善促进消费体制机制，健全和用好宏观政策取向一致性评估工作机制，加强财税、金融、产业、投资、区域发展等政策与消费政策的协同，促进同向发力、形成合力，构建更加有利于促消费的政策体系。</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598AFEBA">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590BBC10">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377058B1">
            <w:pPr>
              <w:rPr>
                <w:rFonts w:hint="eastAsia" w:ascii="宋体" w:hAnsi="宋体" w:eastAsia="宋体" w:cs="宋体"/>
                <w:i w:val="0"/>
                <w:color w:val="000000"/>
                <w:sz w:val="22"/>
                <w:szCs w:val="22"/>
                <w:u w:val="none"/>
              </w:rPr>
            </w:pPr>
          </w:p>
        </w:tc>
      </w:tr>
      <w:tr w14:paraId="122ED3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60" w:hRule="atLeast"/>
        </w:trPr>
        <w:tc>
          <w:tcPr>
            <w:tcW w:w="404" w:type="pct"/>
            <w:vMerge w:val="continue"/>
            <w:tcBorders>
              <w:top w:val="single" w:color="000000" w:sz="4" w:space="0"/>
              <w:left w:val="single" w:color="000000" w:sz="4" w:space="0"/>
              <w:bottom w:val="nil"/>
              <w:right w:val="single" w:color="000000" w:sz="4" w:space="0"/>
            </w:tcBorders>
            <w:noWrap/>
            <w:vAlign w:val="center"/>
          </w:tcPr>
          <w:p w14:paraId="2ADD63E0">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2065AC23">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1E83692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强化投资对消费的支撑作用。更好统筹投资和消费，用好各类政策资金和市场化资金，持续扩大消费基础设施、消费服务功能提升类、消费新业态新模式的有效投资，推动实现投资效益提高和消费扩容升级的良性互促。加大教育医疗、技能培训、养老托育、文旅体育等领域项目谋划储备力度，积极争取中央预算内投资支持，补齐公共服务短板。</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0429FF28">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7FFD3FE4">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38E23A0B">
            <w:pPr>
              <w:rPr>
                <w:rFonts w:hint="eastAsia" w:ascii="宋体" w:hAnsi="宋体" w:eastAsia="宋体" w:cs="宋体"/>
                <w:i w:val="0"/>
                <w:color w:val="000000"/>
                <w:sz w:val="22"/>
                <w:szCs w:val="22"/>
                <w:u w:val="none"/>
              </w:rPr>
            </w:pPr>
          </w:p>
        </w:tc>
      </w:tr>
      <w:tr w14:paraId="08B5F4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404" w:type="pct"/>
            <w:vMerge w:val="continue"/>
            <w:tcBorders>
              <w:top w:val="single" w:color="000000" w:sz="4" w:space="0"/>
              <w:left w:val="single" w:color="000000" w:sz="4" w:space="0"/>
              <w:bottom w:val="nil"/>
              <w:right w:val="single" w:color="000000" w:sz="4" w:space="0"/>
            </w:tcBorders>
            <w:noWrap/>
            <w:vAlign w:val="center"/>
          </w:tcPr>
          <w:p w14:paraId="427C5440">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0A809D92">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3394DC8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与省、市等上级部门积极对接，对拖欠中小企业款项依法依规被认定为失信的，按规定记入相关主体信用记录，采取相应限制措施。</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1E603110">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781847D3">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1F59234A">
            <w:pPr>
              <w:rPr>
                <w:rFonts w:hint="eastAsia" w:ascii="宋体" w:hAnsi="宋体" w:eastAsia="宋体" w:cs="宋体"/>
                <w:i w:val="0"/>
                <w:color w:val="000000"/>
                <w:sz w:val="22"/>
                <w:szCs w:val="22"/>
                <w:u w:val="none"/>
              </w:rPr>
            </w:pPr>
          </w:p>
        </w:tc>
      </w:tr>
      <w:tr w14:paraId="2CD376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404" w:type="pct"/>
            <w:vMerge w:val="restart"/>
            <w:tcBorders>
              <w:top w:val="single" w:color="000000" w:sz="4" w:space="0"/>
              <w:left w:val="single" w:color="000000" w:sz="4" w:space="0"/>
              <w:bottom w:val="single" w:color="000000" w:sz="4" w:space="0"/>
              <w:right w:val="single" w:color="000000" w:sz="4" w:space="0"/>
            </w:tcBorders>
            <w:noWrap/>
            <w:vAlign w:val="center"/>
          </w:tcPr>
          <w:p w14:paraId="288AA84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w:t>
            </w:r>
          </w:p>
        </w:tc>
        <w:tc>
          <w:tcPr>
            <w:tcW w:w="565" w:type="pct"/>
            <w:vMerge w:val="restart"/>
            <w:tcBorders>
              <w:top w:val="single" w:color="000000" w:sz="4" w:space="0"/>
              <w:left w:val="single" w:color="000000" w:sz="4" w:space="0"/>
              <w:bottom w:val="single" w:color="000000" w:sz="4" w:space="0"/>
              <w:right w:val="single" w:color="000000" w:sz="4" w:space="0"/>
            </w:tcBorders>
            <w:noWrap/>
            <w:vAlign w:val="center"/>
          </w:tcPr>
          <w:p w14:paraId="06840B7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县教育局</w:t>
            </w: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45B1A86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扩大教育资源供给，积极推进新建或改扩建一批寄宿制学校、公办幼儿园。</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263D51D0">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19C77D97">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587FA197">
            <w:pPr>
              <w:rPr>
                <w:rFonts w:hint="eastAsia" w:ascii="宋体" w:hAnsi="宋体" w:eastAsia="宋体" w:cs="宋体"/>
                <w:i w:val="0"/>
                <w:color w:val="000000"/>
                <w:sz w:val="22"/>
                <w:szCs w:val="22"/>
                <w:u w:val="none"/>
              </w:rPr>
            </w:pPr>
          </w:p>
        </w:tc>
      </w:tr>
      <w:tr w14:paraId="5DC79A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69F588B2">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1A5C738E">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6F23F72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落实国、省政策，逐步推行免费学前教育，落实普通高中国家助学金资助标准，扩大中等职业学校国家助学金覆盖面、提高资助标准。根据中央政策延续实施国家助学贷款免息及本金延期偿还政策。</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2BE7E1F1">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03EDEB0D">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420C1CD3">
            <w:pPr>
              <w:rPr>
                <w:rFonts w:hint="eastAsia" w:ascii="宋体" w:hAnsi="宋体" w:eastAsia="宋体" w:cs="宋体"/>
                <w:i w:val="0"/>
                <w:color w:val="000000"/>
                <w:sz w:val="22"/>
                <w:szCs w:val="22"/>
                <w:u w:val="none"/>
              </w:rPr>
            </w:pPr>
          </w:p>
        </w:tc>
      </w:tr>
      <w:tr w14:paraId="43DAE5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690F8B02">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2DF8E617">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2A7DF3F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鼓励职业技术学校增设美容、旅游服务与管理、高星级饭店运营与管理等生活服务相关专业。聚焦我县重点产业链和专业镇布局，优化专业结构，与我县企业、园区等达成合作，建立实训基地。</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73B48554">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2FBEBCBB">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7C484FCC">
            <w:pPr>
              <w:rPr>
                <w:rFonts w:hint="eastAsia" w:ascii="宋体" w:hAnsi="宋体" w:eastAsia="宋体" w:cs="宋体"/>
                <w:i w:val="0"/>
                <w:color w:val="000000"/>
                <w:sz w:val="22"/>
                <w:szCs w:val="22"/>
                <w:u w:val="none"/>
              </w:rPr>
            </w:pPr>
          </w:p>
        </w:tc>
      </w:tr>
      <w:tr w14:paraId="795E50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6C77B257">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20685EC7">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0D8E46C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鼓励具备条件的幼儿园向下延伸办托。</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7F9CB2E4">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0F8EFE33">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3949BC6D">
            <w:pPr>
              <w:rPr>
                <w:rFonts w:hint="eastAsia" w:ascii="宋体" w:hAnsi="宋体" w:eastAsia="宋体" w:cs="宋体"/>
                <w:i w:val="0"/>
                <w:color w:val="000000"/>
                <w:sz w:val="22"/>
                <w:szCs w:val="22"/>
                <w:u w:val="none"/>
              </w:rPr>
            </w:pPr>
          </w:p>
        </w:tc>
      </w:tr>
      <w:tr w14:paraId="22F352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404" w:type="pct"/>
            <w:vMerge w:val="restart"/>
            <w:tcBorders>
              <w:top w:val="single" w:color="000000" w:sz="4" w:space="0"/>
              <w:left w:val="single" w:color="000000" w:sz="4" w:space="0"/>
              <w:bottom w:val="single" w:color="000000" w:sz="4" w:space="0"/>
              <w:right w:val="single" w:color="000000" w:sz="4" w:space="0"/>
            </w:tcBorders>
            <w:noWrap/>
            <w:vAlign w:val="center"/>
          </w:tcPr>
          <w:p w14:paraId="1ADD5DD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w:t>
            </w:r>
          </w:p>
        </w:tc>
        <w:tc>
          <w:tcPr>
            <w:tcW w:w="565" w:type="pct"/>
            <w:vMerge w:val="restart"/>
            <w:tcBorders>
              <w:top w:val="single" w:color="000000" w:sz="4" w:space="0"/>
              <w:left w:val="single" w:color="000000" w:sz="4" w:space="0"/>
              <w:bottom w:val="single" w:color="000000" w:sz="4" w:space="0"/>
              <w:right w:val="single" w:color="000000" w:sz="4" w:space="0"/>
            </w:tcBorders>
            <w:noWrap/>
            <w:vAlign w:val="center"/>
          </w:tcPr>
          <w:p w14:paraId="55A19BD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县工科局</w:t>
            </w: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4357E07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全面摸排拖欠企业账款底数，健全防范化解拖欠中小企业账款长效机制，跟踪受理、转办、督办、反馈的投诉办理线索，督促拖欠主体对各拖欠企业特别是中小微企业欠款“应付快付、应付尽付”。</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5C9E8D0B">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053597F2">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2229C0BA">
            <w:pPr>
              <w:rPr>
                <w:rFonts w:hint="eastAsia" w:ascii="宋体" w:hAnsi="宋体" w:eastAsia="宋体" w:cs="宋体"/>
                <w:i w:val="0"/>
                <w:color w:val="000000"/>
                <w:sz w:val="22"/>
                <w:szCs w:val="22"/>
                <w:u w:val="none"/>
              </w:rPr>
            </w:pPr>
          </w:p>
        </w:tc>
      </w:tr>
      <w:tr w14:paraId="7A6CA3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3680D5BA">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260215B7">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4CEC7BD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加大督促力度，将大型企业逾期不支付中小企业特别是国有企业逾期不支付民营企业有关线索，列入随机抽查重点，对违法行为按照规定移送纪委督查。</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3A024884">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6E986070">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22A6B6CC">
            <w:pPr>
              <w:rPr>
                <w:rFonts w:hint="eastAsia" w:ascii="宋体" w:hAnsi="宋体" w:eastAsia="宋体" w:cs="宋体"/>
                <w:i w:val="0"/>
                <w:color w:val="000000"/>
                <w:sz w:val="22"/>
                <w:szCs w:val="22"/>
                <w:u w:val="none"/>
              </w:rPr>
            </w:pPr>
          </w:p>
        </w:tc>
      </w:tr>
      <w:tr w14:paraId="14BA65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404" w:type="pct"/>
            <w:vMerge w:val="restart"/>
            <w:tcBorders>
              <w:top w:val="single" w:color="000000" w:sz="4" w:space="0"/>
              <w:left w:val="single" w:color="000000" w:sz="4" w:space="0"/>
              <w:bottom w:val="single" w:color="000000" w:sz="4" w:space="0"/>
              <w:right w:val="single" w:color="000000" w:sz="4" w:space="0"/>
            </w:tcBorders>
            <w:noWrap/>
            <w:vAlign w:val="center"/>
          </w:tcPr>
          <w:p w14:paraId="21D99D0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w:t>
            </w:r>
          </w:p>
        </w:tc>
        <w:tc>
          <w:tcPr>
            <w:tcW w:w="565" w:type="pct"/>
            <w:vMerge w:val="restart"/>
            <w:tcBorders>
              <w:top w:val="single" w:color="000000" w:sz="4" w:space="0"/>
              <w:left w:val="single" w:color="000000" w:sz="4" w:space="0"/>
              <w:bottom w:val="single" w:color="000000" w:sz="4" w:space="0"/>
              <w:right w:val="single" w:color="000000" w:sz="4" w:space="0"/>
            </w:tcBorders>
            <w:noWrap/>
            <w:vAlign w:val="center"/>
          </w:tcPr>
          <w:p w14:paraId="7E46B7F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县民政局</w:t>
            </w: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0B035E4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加强全县低收入人口动态监测，及时给予分层分类救助帮扶。落实城乡低保及特困人员救助供养标准动态调整机制。</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2BF7C72A">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0503FFDF">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2913CAC6">
            <w:pPr>
              <w:rPr>
                <w:rFonts w:hint="eastAsia" w:ascii="宋体" w:hAnsi="宋体" w:eastAsia="宋体" w:cs="宋体"/>
                <w:i w:val="0"/>
                <w:color w:val="000000"/>
                <w:sz w:val="22"/>
                <w:szCs w:val="22"/>
                <w:u w:val="none"/>
              </w:rPr>
            </w:pPr>
          </w:p>
        </w:tc>
      </w:tr>
      <w:tr w14:paraId="64E087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74103866">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453DE93A">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0FC1FC9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聚焦孤儿、留守儿童、残疾人等重点群体，提高专项救助水平，强化开发式帮扶。</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4022EF28">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4E1E9C02">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2A9DBACF">
            <w:pPr>
              <w:rPr>
                <w:rFonts w:hint="eastAsia" w:ascii="宋体" w:hAnsi="宋体" w:eastAsia="宋体" w:cs="宋体"/>
                <w:i w:val="0"/>
                <w:color w:val="000000"/>
                <w:sz w:val="22"/>
                <w:szCs w:val="22"/>
                <w:u w:val="none"/>
              </w:rPr>
            </w:pPr>
          </w:p>
        </w:tc>
      </w:tr>
      <w:tr w14:paraId="771D39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2B606131">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6304F07D">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2BC9EA7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加强经济困难失能老年人等群体集中照护服务工作，有条件的情况下，将“老年父母+残疾子女”家庭中的重度残疾人纳入集中照护范围。适时推动为困难群众发放救助金或增发一次性生活补贴。</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4F505A6E">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586AF544">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6EDB5FD2">
            <w:pPr>
              <w:rPr>
                <w:rFonts w:hint="eastAsia" w:ascii="宋体" w:hAnsi="宋体" w:eastAsia="宋体" w:cs="宋体"/>
                <w:i w:val="0"/>
                <w:color w:val="000000"/>
                <w:sz w:val="22"/>
                <w:szCs w:val="22"/>
                <w:u w:val="none"/>
              </w:rPr>
            </w:pPr>
          </w:p>
        </w:tc>
      </w:tr>
      <w:tr w14:paraId="328FAE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0E907241">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260286CA">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6D07ABF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推进老年助餐服务发展，加快推进县福利服务中心老年颐养中心提质改造工程和乡镇敬老院改造项目建设。</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7E011724">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12140212">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5BA71FC1">
            <w:pPr>
              <w:rPr>
                <w:rFonts w:hint="eastAsia" w:ascii="宋体" w:hAnsi="宋体" w:eastAsia="宋体" w:cs="宋体"/>
                <w:i w:val="0"/>
                <w:color w:val="000000"/>
                <w:sz w:val="22"/>
                <w:szCs w:val="22"/>
                <w:u w:val="none"/>
              </w:rPr>
            </w:pPr>
          </w:p>
        </w:tc>
      </w:tr>
      <w:tr w14:paraId="5C4AFA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404" w:type="pct"/>
            <w:tcBorders>
              <w:top w:val="single" w:color="000000" w:sz="4" w:space="0"/>
              <w:left w:val="single" w:color="000000" w:sz="4" w:space="0"/>
              <w:bottom w:val="single" w:color="000000" w:sz="4" w:space="0"/>
              <w:right w:val="single" w:color="000000" w:sz="4" w:space="0"/>
            </w:tcBorders>
            <w:noWrap/>
            <w:vAlign w:val="center"/>
          </w:tcPr>
          <w:p w14:paraId="6A6F33E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w:t>
            </w:r>
          </w:p>
        </w:tc>
        <w:tc>
          <w:tcPr>
            <w:tcW w:w="565" w:type="pct"/>
            <w:tcBorders>
              <w:top w:val="single" w:color="000000" w:sz="4" w:space="0"/>
              <w:left w:val="single" w:color="000000" w:sz="4" w:space="0"/>
              <w:bottom w:val="single" w:color="000000" w:sz="4" w:space="0"/>
              <w:right w:val="single" w:color="000000" w:sz="4" w:space="0"/>
            </w:tcBorders>
            <w:noWrap/>
            <w:vAlign w:val="center"/>
          </w:tcPr>
          <w:p w14:paraId="280EAE3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县财政局</w:t>
            </w: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20591C1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用好财政补贴、贷款贴息等政策工具，引导拉动消费增长。</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648E8C79">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0157F474">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7B29C196">
            <w:pPr>
              <w:rPr>
                <w:rFonts w:hint="eastAsia" w:ascii="宋体" w:hAnsi="宋体" w:eastAsia="宋体" w:cs="宋体"/>
                <w:i w:val="0"/>
                <w:color w:val="000000"/>
                <w:sz w:val="22"/>
                <w:szCs w:val="22"/>
                <w:u w:val="none"/>
              </w:rPr>
            </w:pPr>
          </w:p>
        </w:tc>
      </w:tr>
      <w:tr w14:paraId="01FB27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404" w:type="pct"/>
            <w:vMerge w:val="restart"/>
            <w:tcBorders>
              <w:top w:val="single" w:color="000000" w:sz="4" w:space="0"/>
              <w:left w:val="single" w:color="000000" w:sz="4" w:space="0"/>
              <w:bottom w:val="single" w:color="000000" w:sz="4" w:space="0"/>
              <w:right w:val="single" w:color="000000" w:sz="4" w:space="0"/>
            </w:tcBorders>
            <w:noWrap/>
            <w:vAlign w:val="center"/>
          </w:tcPr>
          <w:p w14:paraId="757112C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w:t>
            </w:r>
          </w:p>
        </w:tc>
        <w:tc>
          <w:tcPr>
            <w:tcW w:w="565" w:type="pct"/>
            <w:vMerge w:val="restart"/>
            <w:tcBorders>
              <w:top w:val="single" w:color="000000" w:sz="4" w:space="0"/>
              <w:left w:val="single" w:color="000000" w:sz="4" w:space="0"/>
              <w:bottom w:val="single" w:color="000000" w:sz="4" w:space="0"/>
              <w:right w:val="single" w:color="000000" w:sz="4" w:space="0"/>
            </w:tcBorders>
            <w:noWrap/>
            <w:vAlign w:val="center"/>
          </w:tcPr>
          <w:p w14:paraId="229721F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县人社局</w:t>
            </w: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14C613E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贯彻落实省、市促进高质量充分就业的政策措施，实施重点领域、重点行业、城乡基层和中小微企业就业支持计划。开展“雨露计划+”就业促进行动，促进高校毕业生、农民工、退役军人、就业困难人员等重点群体高质量充分就业。</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028F05B3">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7432DC30">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22A67149">
            <w:pPr>
              <w:rPr>
                <w:rFonts w:hint="eastAsia" w:ascii="宋体" w:hAnsi="宋体" w:eastAsia="宋体" w:cs="宋体"/>
                <w:i w:val="0"/>
                <w:color w:val="000000"/>
                <w:sz w:val="22"/>
                <w:szCs w:val="22"/>
                <w:u w:val="none"/>
              </w:rPr>
            </w:pPr>
          </w:p>
        </w:tc>
      </w:tr>
      <w:tr w14:paraId="193E89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2A94C609">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75523FEF">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18C0340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落实国家政策，全面精准顶格执行失业保险降费率、稳岗返还、一次性扩岗补助等援企稳岗政策。</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6151D5BF">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2EF66132">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7E8B96A1">
            <w:pPr>
              <w:rPr>
                <w:rFonts w:hint="eastAsia" w:ascii="宋体" w:hAnsi="宋体" w:eastAsia="宋体" w:cs="宋体"/>
                <w:i w:val="0"/>
                <w:color w:val="000000"/>
                <w:sz w:val="22"/>
                <w:szCs w:val="22"/>
                <w:u w:val="none"/>
              </w:rPr>
            </w:pPr>
          </w:p>
        </w:tc>
      </w:tr>
      <w:tr w14:paraId="6B7FEC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27F292E7">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39122D9F">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4385C15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扎实开展职业技能培训，通过市场引导和政府支持，面向有就业和培训意愿的脱贫劳动力、高校毕业生、城镇登记失业人员、就业困难人员等各类就业重点群体开展技能培训。</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4426A705">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726EC234">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134309EB">
            <w:pPr>
              <w:rPr>
                <w:rFonts w:hint="eastAsia" w:ascii="宋体" w:hAnsi="宋体" w:eastAsia="宋体" w:cs="宋体"/>
                <w:i w:val="0"/>
                <w:color w:val="000000"/>
                <w:sz w:val="22"/>
                <w:szCs w:val="22"/>
                <w:u w:val="none"/>
              </w:rPr>
            </w:pPr>
          </w:p>
        </w:tc>
      </w:tr>
      <w:tr w14:paraId="1796A0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6D807C67">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6736BDF3">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15A45D8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健全企业工资正常增长机制，根据山西省2025年度企业工资指导线，指导企业合理增加职工劳动报酬，落实最低工资标准。</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0FD8B71F">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23962BBE">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48277BC7">
            <w:pPr>
              <w:rPr>
                <w:rFonts w:hint="eastAsia" w:ascii="宋体" w:hAnsi="宋体" w:eastAsia="宋体" w:cs="宋体"/>
                <w:i w:val="0"/>
                <w:color w:val="000000"/>
                <w:sz w:val="22"/>
                <w:szCs w:val="22"/>
                <w:u w:val="none"/>
              </w:rPr>
            </w:pPr>
          </w:p>
        </w:tc>
      </w:tr>
      <w:tr w14:paraId="5BF814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5FDD16DC">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3023D92A">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0A4EB62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按照省、市安排，积极探索将参加职工基本医疗保险的灵活就业人员、农民工、新就业形态人员纳入生育保险。</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6E9EC05C">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61388625">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6FB2B1B9">
            <w:pPr>
              <w:rPr>
                <w:rFonts w:hint="eastAsia" w:ascii="宋体" w:hAnsi="宋体" w:eastAsia="宋体" w:cs="宋体"/>
                <w:i w:val="0"/>
                <w:color w:val="000000"/>
                <w:sz w:val="22"/>
                <w:szCs w:val="22"/>
                <w:u w:val="none"/>
              </w:rPr>
            </w:pPr>
          </w:p>
        </w:tc>
      </w:tr>
      <w:tr w14:paraId="74768A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5EB49AB3">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438C51D7">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08E7D2C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落实国、省政策，适当提高退休人员基本养老金水平，做好国家提高城乡居民基础养老金标准落实工作，提高城乡居民医保财政补助标准。全面实施个人养老金制度，加快发展多层次多支柱养老保险体系。</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08148DFE">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1B2A2E6F">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02FE844D">
            <w:pPr>
              <w:rPr>
                <w:rFonts w:hint="eastAsia" w:ascii="宋体" w:hAnsi="宋体" w:eastAsia="宋体" w:cs="宋体"/>
                <w:i w:val="0"/>
                <w:color w:val="000000"/>
                <w:sz w:val="22"/>
                <w:szCs w:val="22"/>
                <w:u w:val="none"/>
              </w:rPr>
            </w:pPr>
          </w:p>
        </w:tc>
      </w:tr>
      <w:tr w14:paraId="405DE7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4428C8C0">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4E96DA77">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753D426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全面取消灵活就业人员在就业地参加基本养老、医疗保险的户籍限制，按盂县当地居民相同标准，对持居住证参加当地居民医保的给予补助。</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2E7B085A">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03D4317B">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68DFAC70">
            <w:pPr>
              <w:rPr>
                <w:rFonts w:hint="eastAsia" w:ascii="宋体" w:hAnsi="宋体" w:eastAsia="宋体" w:cs="宋体"/>
                <w:i w:val="0"/>
                <w:color w:val="000000"/>
                <w:sz w:val="22"/>
                <w:szCs w:val="22"/>
                <w:u w:val="none"/>
              </w:rPr>
            </w:pPr>
          </w:p>
        </w:tc>
      </w:tr>
      <w:tr w14:paraId="49C425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1385F115">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6D9ABF99">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0EA9C1A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加强失业人员基本生活保障，延续实施失业保险稳岗惠民政策措施，做好失业保险金、代缴基本医疗保险费（含生育保险费）、价格临时补贴等保生活待遇发放工作。</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4643B565">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758A184B">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21787C74">
            <w:pPr>
              <w:rPr>
                <w:rFonts w:hint="eastAsia" w:ascii="宋体" w:hAnsi="宋体" w:eastAsia="宋体" w:cs="宋体"/>
                <w:i w:val="0"/>
                <w:color w:val="000000"/>
                <w:sz w:val="22"/>
                <w:szCs w:val="22"/>
                <w:u w:val="none"/>
              </w:rPr>
            </w:pPr>
          </w:p>
        </w:tc>
      </w:tr>
      <w:tr w14:paraId="155F3E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52164846">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77A7B423">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3AB7E76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严格落实带薪年休假制度，依法依规加强对各单位休息休假制度执行情况的常态化监督。鼓励各单位带薪年休假与小长假连休，实现弹性错峰休假。</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06B475C4">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2B53DB82">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65F246AF">
            <w:pPr>
              <w:rPr>
                <w:rFonts w:hint="eastAsia" w:ascii="宋体" w:hAnsi="宋体" w:eastAsia="宋体" w:cs="宋体"/>
                <w:i w:val="0"/>
                <w:color w:val="000000"/>
                <w:sz w:val="22"/>
                <w:szCs w:val="22"/>
                <w:u w:val="none"/>
              </w:rPr>
            </w:pPr>
          </w:p>
        </w:tc>
      </w:tr>
      <w:tr w14:paraId="0951BE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404" w:type="pct"/>
            <w:vMerge w:val="restart"/>
            <w:tcBorders>
              <w:top w:val="single" w:color="000000" w:sz="4" w:space="0"/>
              <w:left w:val="single" w:color="000000" w:sz="4" w:space="0"/>
              <w:bottom w:val="single" w:color="000000" w:sz="4" w:space="0"/>
              <w:right w:val="single" w:color="000000" w:sz="4" w:space="0"/>
            </w:tcBorders>
            <w:noWrap/>
            <w:vAlign w:val="center"/>
          </w:tcPr>
          <w:p w14:paraId="2C72313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w:t>
            </w:r>
          </w:p>
        </w:tc>
        <w:tc>
          <w:tcPr>
            <w:tcW w:w="565" w:type="pct"/>
            <w:vMerge w:val="restart"/>
            <w:tcBorders>
              <w:top w:val="single" w:color="000000" w:sz="4" w:space="0"/>
              <w:left w:val="single" w:color="000000" w:sz="4" w:space="0"/>
              <w:bottom w:val="single" w:color="000000" w:sz="4" w:space="0"/>
              <w:right w:val="single" w:color="000000" w:sz="4" w:space="0"/>
            </w:tcBorders>
            <w:noWrap/>
            <w:vAlign w:val="center"/>
          </w:tcPr>
          <w:p w14:paraId="556632D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县住建局</w:t>
            </w: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6350042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探索推进社区公共场所、城市道路、公共交通工具等适老化改造，进一步推动既有住宅加装电梯工作的落实。</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542B0A21">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35AA043E">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1F0251A2">
            <w:pPr>
              <w:rPr>
                <w:rFonts w:hint="eastAsia" w:ascii="宋体" w:hAnsi="宋体" w:eastAsia="宋体" w:cs="宋体"/>
                <w:i w:val="0"/>
                <w:color w:val="000000"/>
                <w:sz w:val="22"/>
                <w:szCs w:val="22"/>
                <w:u w:val="none"/>
              </w:rPr>
            </w:pPr>
          </w:p>
        </w:tc>
      </w:tr>
      <w:tr w14:paraId="1841BA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6CAFDA0B">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18213ABC">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157E4BE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用好山西省房地产融资“白名单”机制，积极推进有融资需求的房地产项目纳入融资“白名单”。支持引导实力强、信誉好的房地产开发企业打造一批安全、舒适、绿色、智慧的“好房子”样板。组织“房展会”“房博会”等活动，鼓励房企集中开展优惠促销。</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400F5BD6">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334EB932">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056A33DD">
            <w:pPr>
              <w:rPr>
                <w:rFonts w:hint="eastAsia" w:ascii="宋体" w:hAnsi="宋体" w:eastAsia="宋体" w:cs="宋体"/>
                <w:i w:val="0"/>
                <w:color w:val="000000"/>
                <w:sz w:val="22"/>
                <w:szCs w:val="22"/>
                <w:u w:val="none"/>
              </w:rPr>
            </w:pPr>
          </w:p>
        </w:tc>
      </w:tr>
      <w:tr w14:paraId="4BCACA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4B0264B5">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51B2CE33">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3095DBD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加力实施城镇老旧小区改造、城中村和棚户区（城市危旧房）改造。</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3763F439">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186A156C">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58812934">
            <w:pPr>
              <w:rPr>
                <w:rFonts w:hint="eastAsia" w:ascii="宋体" w:hAnsi="宋体" w:eastAsia="宋体" w:cs="宋体"/>
                <w:i w:val="0"/>
                <w:color w:val="000000"/>
                <w:sz w:val="22"/>
                <w:szCs w:val="22"/>
                <w:u w:val="none"/>
              </w:rPr>
            </w:pPr>
          </w:p>
        </w:tc>
      </w:tr>
      <w:tr w14:paraId="3AF13D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47C3C41A">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77159F9A">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7CE0E8E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鼓励普通商品住房项目配建公共租赁住房、保障性租赁住房，解决新市民、青年群体阶段性住房困难。</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53F6A6D2">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666BF03A">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383D58D2">
            <w:pPr>
              <w:rPr>
                <w:rFonts w:hint="eastAsia" w:ascii="宋体" w:hAnsi="宋体" w:eastAsia="宋体" w:cs="宋体"/>
                <w:i w:val="0"/>
                <w:color w:val="000000"/>
                <w:sz w:val="22"/>
                <w:szCs w:val="22"/>
                <w:u w:val="none"/>
              </w:rPr>
            </w:pPr>
          </w:p>
        </w:tc>
      </w:tr>
      <w:tr w14:paraId="66BC41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021C0F5E">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77228C98">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5A008CD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有效发挥住房公积金支持作用，持续优化公积金使用政策。继续推进灵活就业人员参加住房公积金制度。</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5564B781">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640F92FB">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15DAA7B7">
            <w:pPr>
              <w:rPr>
                <w:rFonts w:hint="eastAsia" w:ascii="宋体" w:hAnsi="宋体" w:eastAsia="宋体" w:cs="宋体"/>
                <w:i w:val="0"/>
                <w:color w:val="000000"/>
                <w:sz w:val="22"/>
                <w:szCs w:val="22"/>
                <w:u w:val="none"/>
              </w:rPr>
            </w:pPr>
          </w:p>
        </w:tc>
      </w:tr>
      <w:tr w14:paraId="0CF828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1D67899D">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0C68ADC5">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7B1E50D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加大对夜间消费集聚区域的经营活动场地、临时停车泊位等配套保障力度。</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68EB8308">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30302DDD">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2079301E">
            <w:pPr>
              <w:rPr>
                <w:rFonts w:hint="eastAsia" w:ascii="宋体" w:hAnsi="宋体" w:eastAsia="宋体" w:cs="宋体"/>
                <w:i w:val="0"/>
                <w:color w:val="000000"/>
                <w:sz w:val="22"/>
                <w:szCs w:val="22"/>
                <w:u w:val="none"/>
              </w:rPr>
            </w:pPr>
          </w:p>
        </w:tc>
      </w:tr>
      <w:tr w14:paraId="79F155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404" w:type="pct"/>
            <w:tcBorders>
              <w:top w:val="single" w:color="000000" w:sz="4" w:space="0"/>
              <w:left w:val="single" w:color="000000" w:sz="4" w:space="0"/>
              <w:bottom w:val="single" w:color="000000" w:sz="4" w:space="0"/>
              <w:right w:val="single" w:color="000000" w:sz="4" w:space="0"/>
            </w:tcBorders>
            <w:noWrap/>
            <w:vAlign w:val="center"/>
          </w:tcPr>
          <w:p w14:paraId="1AB4277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w:t>
            </w:r>
          </w:p>
        </w:tc>
        <w:tc>
          <w:tcPr>
            <w:tcW w:w="565" w:type="pct"/>
            <w:tcBorders>
              <w:top w:val="single" w:color="000000" w:sz="4" w:space="0"/>
              <w:left w:val="single" w:color="000000" w:sz="4" w:space="0"/>
              <w:bottom w:val="single" w:color="000000" w:sz="4" w:space="0"/>
              <w:right w:val="single" w:color="000000" w:sz="4" w:space="0"/>
            </w:tcBorders>
            <w:noWrap/>
            <w:vAlign w:val="center"/>
          </w:tcPr>
          <w:p w14:paraId="3A06802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县交通局</w:t>
            </w:r>
          </w:p>
        </w:tc>
        <w:tc>
          <w:tcPr>
            <w:tcW w:w="2279" w:type="pct"/>
            <w:tcBorders>
              <w:top w:val="single" w:color="000000" w:sz="4" w:space="0"/>
              <w:left w:val="single" w:color="000000" w:sz="4" w:space="0"/>
              <w:bottom w:val="single" w:color="000000" w:sz="4" w:space="0"/>
              <w:right w:val="single" w:color="000000" w:sz="4" w:space="0"/>
            </w:tcBorders>
            <w:noWrap/>
            <w:vAlign w:val="center"/>
          </w:tcPr>
          <w:p w14:paraId="7234A6F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加力支持老旧营运货车、新能源城市公交车及动力电池更新。</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444A02DA">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454344BA">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0BFBD242">
            <w:pPr>
              <w:rPr>
                <w:rFonts w:hint="eastAsia" w:ascii="宋体" w:hAnsi="宋体" w:eastAsia="宋体" w:cs="宋体"/>
                <w:i w:val="0"/>
                <w:color w:val="000000"/>
                <w:sz w:val="22"/>
                <w:szCs w:val="22"/>
                <w:u w:val="none"/>
              </w:rPr>
            </w:pPr>
          </w:p>
        </w:tc>
      </w:tr>
      <w:tr w14:paraId="4C16DD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404" w:type="pct"/>
            <w:vMerge w:val="restart"/>
            <w:tcBorders>
              <w:top w:val="single" w:color="000000" w:sz="4" w:space="0"/>
              <w:left w:val="single" w:color="000000" w:sz="4" w:space="0"/>
              <w:bottom w:val="single" w:color="000000" w:sz="4" w:space="0"/>
              <w:right w:val="single" w:color="000000" w:sz="4" w:space="0"/>
            </w:tcBorders>
            <w:noWrap/>
            <w:vAlign w:val="center"/>
          </w:tcPr>
          <w:p w14:paraId="632A507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九、</w:t>
            </w:r>
          </w:p>
        </w:tc>
        <w:tc>
          <w:tcPr>
            <w:tcW w:w="565" w:type="pct"/>
            <w:vMerge w:val="restart"/>
            <w:tcBorders>
              <w:top w:val="single" w:color="000000" w:sz="4" w:space="0"/>
              <w:left w:val="single" w:color="000000" w:sz="4" w:space="0"/>
              <w:bottom w:val="single" w:color="000000" w:sz="4" w:space="0"/>
              <w:right w:val="single" w:color="000000" w:sz="4" w:space="0"/>
            </w:tcBorders>
            <w:noWrap/>
            <w:vAlign w:val="center"/>
          </w:tcPr>
          <w:p w14:paraId="5CD79BC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县农业农村局</w:t>
            </w: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359EA39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加大种粮农民直接补贴力度，落实山西省耕地地力保护补贴的相关政策。</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79A61C3D">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5C928EA0">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0E09B07D">
            <w:pPr>
              <w:rPr>
                <w:rFonts w:hint="eastAsia" w:ascii="宋体" w:hAnsi="宋体" w:eastAsia="宋体" w:cs="宋体"/>
                <w:i w:val="0"/>
                <w:color w:val="000000"/>
                <w:sz w:val="22"/>
                <w:szCs w:val="22"/>
                <w:u w:val="none"/>
              </w:rPr>
            </w:pPr>
          </w:p>
        </w:tc>
      </w:tr>
      <w:tr w14:paraId="18E77F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7108475C">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36CF8ADB">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4E6474E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持续实施乡村工匠“双百双千”培育工程，促进农村劳动力高质量就业增收。</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41D2C687">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4A7C48AE">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1552C293">
            <w:pPr>
              <w:rPr>
                <w:rFonts w:hint="eastAsia" w:ascii="宋体" w:hAnsi="宋体" w:eastAsia="宋体" w:cs="宋体"/>
                <w:i w:val="0"/>
                <w:color w:val="000000"/>
                <w:sz w:val="22"/>
                <w:szCs w:val="22"/>
                <w:u w:val="none"/>
              </w:rPr>
            </w:pPr>
          </w:p>
        </w:tc>
      </w:tr>
      <w:tr w14:paraId="415FEB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3677F41F">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4F40983A">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7A20262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深入开展农产品“三品一标”行动，培育本土优质农产品品牌。</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6C243C5F">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0D94BC57">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1AD6F33F">
            <w:pPr>
              <w:rPr>
                <w:rFonts w:hint="eastAsia" w:ascii="宋体" w:hAnsi="宋体" w:eastAsia="宋体" w:cs="宋体"/>
                <w:i w:val="0"/>
                <w:color w:val="000000"/>
                <w:sz w:val="22"/>
                <w:szCs w:val="22"/>
                <w:u w:val="none"/>
              </w:rPr>
            </w:pPr>
          </w:p>
        </w:tc>
      </w:tr>
      <w:tr w14:paraId="119320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7EE9AFBE">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155C6DBE">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54068DF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依法依规盘活农村闲置房屋、集体建设用地等，大力培育家庭农场、农民合作社等新型农业经营主体。健全产业联农带农机制，将龙头企业等新型农业经营主体扶持政策同农户增收挂钩，支持发展农业产业化联合体。</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7DBAB16C">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337A8946">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7803CF7A">
            <w:pPr>
              <w:rPr>
                <w:rFonts w:hint="eastAsia" w:ascii="宋体" w:hAnsi="宋体" w:eastAsia="宋体" w:cs="宋体"/>
                <w:i w:val="0"/>
                <w:color w:val="000000"/>
                <w:sz w:val="22"/>
                <w:szCs w:val="22"/>
                <w:u w:val="none"/>
              </w:rPr>
            </w:pPr>
          </w:p>
        </w:tc>
      </w:tr>
      <w:tr w14:paraId="2EDF3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1B9B37F5">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300DF41E">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31F33EE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支持农业机械报废更新。</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230FA016">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50830DBE">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721AF329">
            <w:pPr>
              <w:rPr>
                <w:rFonts w:hint="eastAsia" w:ascii="宋体" w:hAnsi="宋体" w:eastAsia="宋体" w:cs="宋体"/>
                <w:i w:val="0"/>
                <w:color w:val="000000"/>
                <w:sz w:val="22"/>
                <w:szCs w:val="22"/>
                <w:u w:val="none"/>
              </w:rPr>
            </w:pPr>
          </w:p>
        </w:tc>
      </w:tr>
      <w:tr w14:paraId="76A81E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404" w:type="pct"/>
            <w:vMerge w:val="restart"/>
            <w:tcBorders>
              <w:top w:val="single" w:color="000000" w:sz="4" w:space="0"/>
              <w:left w:val="single" w:color="000000" w:sz="4" w:space="0"/>
              <w:bottom w:val="single" w:color="000000" w:sz="4" w:space="0"/>
              <w:right w:val="single" w:color="000000" w:sz="4" w:space="0"/>
            </w:tcBorders>
            <w:noWrap/>
            <w:vAlign w:val="center"/>
          </w:tcPr>
          <w:p w14:paraId="29F0B74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w:t>
            </w:r>
          </w:p>
        </w:tc>
        <w:tc>
          <w:tcPr>
            <w:tcW w:w="565" w:type="pct"/>
            <w:vMerge w:val="restart"/>
            <w:tcBorders>
              <w:top w:val="single" w:color="000000" w:sz="4" w:space="0"/>
              <w:left w:val="single" w:color="000000" w:sz="4" w:space="0"/>
              <w:bottom w:val="single" w:color="000000" w:sz="4" w:space="0"/>
              <w:right w:val="single" w:color="000000" w:sz="4" w:space="0"/>
            </w:tcBorders>
            <w:noWrap/>
            <w:vAlign w:val="center"/>
          </w:tcPr>
          <w:p w14:paraId="350C91C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县商务局</w:t>
            </w: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45C9604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引导品牌餐饮、住宿企业新建经营网点，扩大优质服务范围。合理布局多层次住宿配置，支持新建高品质酒店或引进知名品牌连锁酒店管理团队。</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112F7255">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773C7D2C">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3AD6DC74">
            <w:pPr>
              <w:rPr>
                <w:rFonts w:hint="eastAsia" w:ascii="宋体" w:hAnsi="宋体" w:eastAsia="宋体" w:cs="宋体"/>
                <w:i w:val="0"/>
                <w:color w:val="000000"/>
                <w:sz w:val="22"/>
                <w:szCs w:val="22"/>
                <w:u w:val="none"/>
              </w:rPr>
            </w:pPr>
          </w:p>
        </w:tc>
      </w:tr>
      <w:tr w14:paraId="6D040F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03470A3D">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5914C0C4">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7330838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加强“一刻钟便民生活圈”建设，鼓励发展社区型购物中心、便民商业中心，支持家政服务、便民维修、养老托幼、社区书店等社区公益性微利型业态发展。</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34C144FB">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13268129">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7B5CC4F0">
            <w:pPr>
              <w:rPr>
                <w:rFonts w:hint="eastAsia" w:ascii="宋体" w:hAnsi="宋体" w:eastAsia="宋体" w:cs="宋体"/>
                <w:i w:val="0"/>
                <w:color w:val="000000"/>
                <w:sz w:val="22"/>
                <w:szCs w:val="22"/>
                <w:u w:val="none"/>
              </w:rPr>
            </w:pPr>
          </w:p>
        </w:tc>
      </w:tr>
      <w:tr w14:paraId="52C343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07EB048B">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3C89815F">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32AC3CC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鼓励县城及周边景区、商业街区、购物中心等开发夜游消费打卡地，鼓励景区景点、公共图书馆、文化馆等延长开放时间。</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07E1FC5B">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782D733A">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47C95F3C">
            <w:pPr>
              <w:rPr>
                <w:rFonts w:hint="eastAsia" w:ascii="宋体" w:hAnsi="宋体" w:eastAsia="宋体" w:cs="宋体"/>
                <w:i w:val="0"/>
                <w:color w:val="000000"/>
                <w:sz w:val="22"/>
                <w:szCs w:val="22"/>
                <w:u w:val="none"/>
              </w:rPr>
            </w:pPr>
          </w:p>
        </w:tc>
      </w:tr>
      <w:tr w14:paraId="61F5EF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64D72587">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60B5C5B6">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17B5500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用好消费品以旧换新超长期特别国债资金，扩围补贴支持汽车报废更新和置换更新、家电产品和电动自行车以旧换新、家装厨卫消费品“焕新”、手机等数码产品购新。</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513224E5">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7D95D2EF">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056662DE">
            <w:pPr>
              <w:rPr>
                <w:rFonts w:hint="eastAsia" w:ascii="宋体" w:hAnsi="宋体" w:eastAsia="宋体" w:cs="宋体"/>
                <w:i w:val="0"/>
                <w:color w:val="000000"/>
                <w:sz w:val="22"/>
                <w:szCs w:val="22"/>
                <w:u w:val="none"/>
              </w:rPr>
            </w:pPr>
          </w:p>
        </w:tc>
      </w:tr>
      <w:tr w14:paraId="060C52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02FBCB36">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2386FFB5">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0C2CA52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积极组织申报二手商品流通试点，促进闲置物品循环利用。</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7EAB0B7C">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7D93F032">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7BF9B5D9">
            <w:pPr>
              <w:rPr>
                <w:rFonts w:hint="eastAsia" w:ascii="宋体" w:hAnsi="宋体" w:eastAsia="宋体" w:cs="宋体"/>
                <w:i w:val="0"/>
                <w:color w:val="000000"/>
                <w:sz w:val="22"/>
                <w:szCs w:val="22"/>
                <w:u w:val="none"/>
              </w:rPr>
            </w:pPr>
          </w:p>
        </w:tc>
      </w:tr>
      <w:tr w14:paraId="67DF9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06D2919B">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01905073">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1609295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规范汽车流通领域经营秩序，培育壮大二手车经营主体，便利汽车转让登记，扩大二手车交易规模，为新车消费创造更大市场空间。</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4EBA4FFA">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04A8CE41">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2A60B874">
            <w:pPr>
              <w:rPr>
                <w:rFonts w:hint="eastAsia" w:ascii="宋体" w:hAnsi="宋体" w:eastAsia="宋体" w:cs="宋体"/>
                <w:i w:val="0"/>
                <w:color w:val="000000"/>
                <w:sz w:val="22"/>
                <w:szCs w:val="22"/>
                <w:u w:val="none"/>
              </w:rPr>
            </w:pPr>
          </w:p>
        </w:tc>
      </w:tr>
      <w:tr w14:paraId="3F8CE7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464E6C51">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064FF4A5">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439325F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推动电子商务与特色产业深度融合，持续发展乡村e镇，挖掘销售桃仁月饼、核桃露、紫苏籽油、小杂粮等盂县特色农产品。建设区域公用品牌“赋盂粮品”，强化品牌引领。</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7533C10A">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482B303F">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0E2FCE80">
            <w:pPr>
              <w:rPr>
                <w:rFonts w:hint="eastAsia" w:ascii="宋体" w:hAnsi="宋体" w:eastAsia="宋体" w:cs="宋体"/>
                <w:i w:val="0"/>
                <w:color w:val="000000"/>
                <w:sz w:val="22"/>
                <w:szCs w:val="22"/>
                <w:u w:val="none"/>
              </w:rPr>
            </w:pPr>
          </w:p>
        </w:tc>
      </w:tr>
      <w:tr w14:paraId="10293B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59105B33">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62BB09B6">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49F513D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组织开展“双品网购节”“网上年货节”等网上促消费活动，大力培育本土品质电商，鼓励企业邀请国内知名主播带货盂县产品。</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33F2C506">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0B333E62">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510F8B49">
            <w:pPr>
              <w:rPr>
                <w:rFonts w:hint="eastAsia" w:ascii="宋体" w:hAnsi="宋体" w:eastAsia="宋体" w:cs="宋体"/>
                <w:i w:val="0"/>
                <w:color w:val="000000"/>
                <w:sz w:val="22"/>
                <w:szCs w:val="22"/>
                <w:u w:val="none"/>
              </w:rPr>
            </w:pPr>
          </w:p>
        </w:tc>
      </w:tr>
      <w:tr w14:paraId="32F6D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61E7B7A3">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5BAA5D6A">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59C84E5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组织企业和本土产品参加国内大型展会，拓宽产品国内和国际市场。</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23A133F5">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36A34148">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2C917AF9">
            <w:pPr>
              <w:rPr>
                <w:rFonts w:hint="eastAsia" w:ascii="宋体" w:hAnsi="宋体" w:eastAsia="宋体" w:cs="宋体"/>
                <w:i w:val="0"/>
                <w:color w:val="000000"/>
                <w:sz w:val="22"/>
                <w:szCs w:val="22"/>
                <w:u w:val="none"/>
              </w:rPr>
            </w:pPr>
          </w:p>
        </w:tc>
      </w:tr>
      <w:tr w14:paraId="7DCED4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7FA46696">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1F26F0EA">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556F755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深入实施县域商业建设行动，推动改造升级一批乡镇商贸中心、集贸市场和乡镇快递服务站点。持续推进“智慧商圈”建设，鼓励超市、零售企业、商业综合体提档升级和数字化改造。鼓励商贸企业发展“夜经济”。</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090A6B93">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346F4874">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12F49E4B">
            <w:pPr>
              <w:rPr>
                <w:rFonts w:hint="eastAsia" w:ascii="宋体" w:hAnsi="宋体" w:eastAsia="宋体" w:cs="宋体"/>
                <w:i w:val="0"/>
                <w:color w:val="000000"/>
                <w:sz w:val="22"/>
                <w:szCs w:val="22"/>
                <w:u w:val="none"/>
              </w:rPr>
            </w:pPr>
          </w:p>
        </w:tc>
      </w:tr>
      <w:tr w14:paraId="41510B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1C71361B">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13E02ABC">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35C6C00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2025年继续实行农产品上行快件物流补助，对省内网络销售农产品及农副产品达到2万元及以上、快递单量1000单及以上的企业和个体工商户，给予上行快件每件1元的资金补助，带动农副产品消费。</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1E1506F0">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628F69B0">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0C3B0B26">
            <w:pPr>
              <w:rPr>
                <w:rFonts w:hint="eastAsia" w:ascii="宋体" w:hAnsi="宋体" w:eastAsia="宋体" w:cs="宋体"/>
                <w:i w:val="0"/>
                <w:color w:val="000000"/>
                <w:sz w:val="22"/>
                <w:szCs w:val="22"/>
                <w:u w:val="none"/>
              </w:rPr>
            </w:pPr>
          </w:p>
        </w:tc>
      </w:tr>
      <w:tr w14:paraId="6E1D40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404" w:type="pct"/>
            <w:vMerge w:val="restart"/>
            <w:tcBorders>
              <w:top w:val="single" w:color="000000" w:sz="4" w:space="0"/>
              <w:left w:val="single" w:color="000000" w:sz="4" w:space="0"/>
              <w:bottom w:val="single" w:color="000000" w:sz="4" w:space="0"/>
              <w:right w:val="single" w:color="000000" w:sz="4" w:space="0"/>
            </w:tcBorders>
            <w:noWrap w:val="0"/>
            <w:vAlign w:val="center"/>
          </w:tcPr>
          <w:p w14:paraId="3F7FEE4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十一、</w:t>
            </w:r>
          </w:p>
        </w:tc>
        <w:tc>
          <w:tcPr>
            <w:tcW w:w="565" w:type="pct"/>
            <w:vMerge w:val="restart"/>
            <w:tcBorders>
              <w:top w:val="single" w:color="000000" w:sz="4" w:space="0"/>
              <w:left w:val="single" w:color="000000" w:sz="4" w:space="0"/>
              <w:bottom w:val="single" w:color="000000" w:sz="4" w:space="0"/>
              <w:right w:val="single" w:color="000000" w:sz="4" w:space="0"/>
            </w:tcBorders>
            <w:noWrap/>
            <w:vAlign w:val="center"/>
          </w:tcPr>
          <w:p w14:paraId="4182FDD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县文旅局</w:t>
            </w: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5D79F51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深入挖掘盂县历史文化、民俗风情、自然景观等特色元素，积极发展银发旅游，打造休闲康养游、生态观光游等主题鲜明的特色旅游线路和产品。</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5BC2F4E6">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3CFF7478">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06957BFC">
            <w:pPr>
              <w:rPr>
                <w:rFonts w:hint="eastAsia" w:ascii="宋体" w:hAnsi="宋体" w:eastAsia="宋体" w:cs="宋体"/>
                <w:i w:val="0"/>
                <w:color w:val="000000"/>
                <w:sz w:val="22"/>
                <w:szCs w:val="22"/>
                <w:u w:val="none"/>
              </w:rPr>
            </w:pPr>
          </w:p>
        </w:tc>
      </w:tr>
      <w:tr w14:paraId="643273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0"/>
            <w:vAlign w:val="center"/>
          </w:tcPr>
          <w:p w14:paraId="66C88E2C">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725672CA">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4D514B8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推动商旅文体等资源整合、业态融合、市场聚合，创新多元化消费场景。积极顺应和把握文旅消费新趋势，形成“食住行游娱购”全产业链，构建宜商宜游宜居的城市消费空间，打造县域旅游高地。</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7C9FEE76">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2B6EF973">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72F3769C">
            <w:pPr>
              <w:rPr>
                <w:rFonts w:hint="eastAsia" w:ascii="宋体" w:hAnsi="宋体" w:eastAsia="宋体" w:cs="宋体"/>
                <w:i w:val="0"/>
                <w:color w:val="000000"/>
                <w:sz w:val="22"/>
                <w:szCs w:val="22"/>
                <w:u w:val="none"/>
              </w:rPr>
            </w:pPr>
          </w:p>
        </w:tc>
      </w:tr>
      <w:tr w14:paraId="50C776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0"/>
            <w:vAlign w:val="center"/>
          </w:tcPr>
          <w:p w14:paraId="1B06E64E">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1A54BC74">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0778DAB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鼓励各景区结合实际开展门票减免活动，支持旅游厕所等景区设施改造升级。</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4CDD787B">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61D0050B">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400E2015">
            <w:pPr>
              <w:rPr>
                <w:rFonts w:hint="eastAsia" w:ascii="宋体" w:hAnsi="宋体" w:eastAsia="宋体" w:cs="宋体"/>
                <w:i w:val="0"/>
                <w:color w:val="000000"/>
                <w:sz w:val="22"/>
                <w:szCs w:val="22"/>
                <w:u w:val="none"/>
              </w:rPr>
            </w:pPr>
          </w:p>
        </w:tc>
      </w:tr>
      <w:tr w14:paraId="404825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0"/>
            <w:vAlign w:val="center"/>
          </w:tcPr>
          <w:p w14:paraId="412D56A4">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3B97BB12">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0626DF8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深入发掘具有地域特色的民俗文化，引导有序开展传统民俗类消费活动。结合盂县民俗庙会活动，在水神山、华北奕丰生态园、藏山等景区周边布局主题集市，延长游客停留时间，引导扩大文旅消费等。</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4C4C3A98">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1395563C">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65C0FE9C">
            <w:pPr>
              <w:rPr>
                <w:rFonts w:hint="eastAsia" w:ascii="宋体" w:hAnsi="宋体" w:eastAsia="宋体" w:cs="宋体"/>
                <w:i w:val="0"/>
                <w:color w:val="000000"/>
                <w:sz w:val="22"/>
                <w:szCs w:val="22"/>
                <w:u w:val="none"/>
              </w:rPr>
            </w:pPr>
          </w:p>
        </w:tc>
      </w:tr>
      <w:tr w14:paraId="5A86D7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404" w:type="pct"/>
            <w:vMerge w:val="restart"/>
            <w:tcBorders>
              <w:top w:val="single" w:color="000000" w:sz="4" w:space="0"/>
              <w:left w:val="single" w:color="000000" w:sz="4" w:space="0"/>
              <w:bottom w:val="single" w:color="000000" w:sz="4" w:space="0"/>
              <w:right w:val="single" w:color="000000" w:sz="4" w:space="0"/>
            </w:tcBorders>
            <w:noWrap/>
            <w:vAlign w:val="center"/>
          </w:tcPr>
          <w:p w14:paraId="6F35AA4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w:t>
            </w:r>
          </w:p>
        </w:tc>
        <w:tc>
          <w:tcPr>
            <w:tcW w:w="565" w:type="pct"/>
            <w:vMerge w:val="restart"/>
            <w:tcBorders>
              <w:top w:val="single" w:color="000000" w:sz="4" w:space="0"/>
              <w:left w:val="single" w:color="000000" w:sz="4" w:space="0"/>
              <w:bottom w:val="single" w:color="000000" w:sz="4" w:space="0"/>
              <w:right w:val="single" w:color="000000" w:sz="4" w:space="0"/>
            </w:tcBorders>
            <w:noWrap/>
            <w:vAlign w:val="center"/>
          </w:tcPr>
          <w:p w14:paraId="2A650DA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县卫健局</w:t>
            </w: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41BE9C0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落实国、省生育补贴的相关政策制度，为符合条件的生育家庭发放生育补贴。</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5019DDCB">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36633CD4">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4ED50E02">
            <w:pPr>
              <w:rPr>
                <w:rFonts w:hint="eastAsia" w:ascii="宋体" w:hAnsi="宋体" w:eastAsia="宋体" w:cs="宋体"/>
                <w:i w:val="0"/>
                <w:color w:val="000000"/>
                <w:sz w:val="22"/>
                <w:szCs w:val="22"/>
                <w:u w:val="none"/>
              </w:rPr>
            </w:pPr>
          </w:p>
        </w:tc>
      </w:tr>
      <w:tr w14:paraId="245237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2D15C8F4">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3A308486">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4978B29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健全儿科服务体系，加强儿科人才队伍建设，全面优化服务流程。在儿童季节性疾病高发期，鼓励县人民医院、中医医院、妇幼保健院等根据实际就诊需求，进一步加大夜间儿科门（急）诊开放力度并优化夜间门诊就诊流程。</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25C77A55">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77A159CC">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3F522F40">
            <w:pPr>
              <w:rPr>
                <w:rFonts w:hint="eastAsia" w:ascii="宋体" w:hAnsi="宋体" w:eastAsia="宋体" w:cs="宋体"/>
                <w:i w:val="0"/>
                <w:color w:val="000000"/>
                <w:sz w:val="22"/>
                <w:szCs w:val="22"/>
                <w:u w:val="none"/>
              </w:rPr>
            </w:pPr>
          </w:p>
        </w:tc>
      </w:tr>
      <w:tr w14:paraId="3B50D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4CC48236">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380F6EC4">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316CB39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鼓励发展社区嵌入式托育、用人单位办托和托幼一体服务，合理设置婴幼儿托育机构服务设施，向照护3岁以下婴幼儿的普惠托育服务机构发放运营补贴。</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3E917956">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698930BC">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6F3CA67A">
            <w:pPr>
              <w:rPr>
                <w:rFonts w:hint="eastAsia" w:ascii="宋体" w:hAnsi="宋体" w:eastAsia="宋体" w:cs="宋体"/>
                <w:i w:val="0"/>
                <w:color w:val="000000"/>
                <w:sz w:val="22"/>
                <w:szCs w:val="22"/>
                <w:u w:val="none"/>
              </w:rPr>
            </w:pPr>
          </w:p>
        </w:tc>
      </w:tr>
      <w:tr w14:paraId="5EB850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665E063A">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7C65C9AC">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1DA0E1F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加大体育赛事供给力度，广泛开展多种形式的体育赛事活动、健身活动。</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16147DF3">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64352D1B">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3B9A341D">
            <w:pPr>
              <w:rPr>
                <w:rFonts w:hint="eastAsia" w:ascii="宋体" w:hAnsi="宋体" w:eastAsia="宋体" w:cs="宋体"/>
                <w:i w:val="0"/>
                <w:color w:val="000000"/>
                <w:sz w:val="22"/>
                <w:szCs w:val="22"/>
                <w:u w:val="none"/>
              </w:rPr>
            </w:pPr>
          </w:p>
        </w:tc>
      </w:tr>
      <w:tr w14:paraId="74ED41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04" w:type="pct"/>
            <w:tcBorders>
              <w:top w:val="single" w:color="000000" w:sz="4" w:space="0"/>
              <w:left w:val="single" w:color="000000" w:sz="4" w:space="0"/>
              <w:bottom w:val="single" w:color="000000" w:sz="4" w:space="0"/>
              <w:right w:val="single" w:color="000000" w:sz="4" w:space="0"/>
            </w:tcBorders>
            <w:noWrap/>
            <w:vAlign w:val="center"/>
          </w:tcPr>
          <w:p w14:paraId="5B43867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十三、</w:t>
            </w:r>
          </w:p>
        </w:tc>
        <w:tc>
          <w:tcPr>
            <w:tcW w:w="565" w:type="pct"/>
            <w:tcBorders>
              <w:top w:val="single" w:color="000000" w:sz="4" w:space="0"/>
              <w:left w:val="single" w:color="000000" w:sz="4" w:space="0"/>
              <w:bottom w:val="single" w:color="000000" w:sz="4" w:space="0"/>
              <w:right w:val="single" w:color="000000" w:sz="4" w:space="0"/>
            </w:tcBorders>
            <w:noWrap/>
            <w:vAlign w:val="center"/>
          </w:tcPr>
          <w:p w14:paraId="5118833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县审计局</w:t>
            </w:r>
          </w:p>
        </w:tc>
        <w:tc>
          <w:tcPr>
            <w:tcW w:w="2279" w:type="pct"/>
            <w:tcBorders>
              <w:top w:val="single" w:color="000000" w:sz="4" w:space="0"/>
              <w:left w:val="single" w:color="000000" w:sz="4" w:space="0"/>
              <w:bottom w:val="single" w:color="000000" w:sz="4" w:space="0"/>
              <w:right w:val="single" w:color="000000" w:sz="4" w:space="0"/>
            </w:tcBorders>
            <w:noWrap/>
            <w:vAlign w:val="center"/>
          </w:tcPr>
          <w:p w14:paraId="17EE521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加强对支付中小企业款项情况实施审计监督。</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6B3AED40">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70C8C461">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48FE0674">
            <w:pPr>
              <w:rPr>
                <w:rFonts w:hint="eastAsia" w:ascii="宋体" w:hAnsi="宋体" w:eastAsia="宋体" w:cs="宋体"/>
                <w:i w:val="0"/>
                <w:color w:val="000000"/>
                <w:sz w:val="22"/>
                <w:szCs w:val="22"/>
                <w:u w:val="none"/>
              </w:rPr>
            </w:pPr>
          </w:p>
        </w:tc>
      </w:tr>
      <w:tr w14:paraId="2272D0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404" w:type="pct"/>
            <w:vMerge w:val="restart"/>
            <w:tcBorders>
              <w:top w:val="single" w:color="000000" w:sz="4" w:space="0"/>
              <w:left w:val="single" w:color="000000" w:sz="4" w:space="0"/>
              <w:bottom w:val="single" w:color="000000" w:sz="4" w:space="0"/>
              <w:right w:val="single" w:color="000000" w:sz="4" w:space="0"/>
            </w:tcBorders>
            <w:noWrap/>
            <w:vAlign w:val="center"/>
          </w:tcPr>
          <w:p w14:paraId="34447D0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十四、</w:t>
            </w:r>
          </w:p>
        </w:tc>
        <w:tc>
          <w:tcPr>
            <w:tcW w:w="565" w:type="pct"/>
            <w:vMerge w:val="restart"/>
            <w:tcBorders>
              <w:top w:val="single" w:color="000000" w:sz="4" w:space="0"/>
              <w:left w:val="single" w:color="000000" w:sz="4" w:space="0"/>
              <w:bottom w:val="single" w:color="000000" w:sz="4" w:space="0"/>
              <w:right w:val="single" w:color="000000" w:sz="4" w:space="0"/>
            </w:tcBorders>
            <w:noWrap/>
            <w:vAlign w:val="center"/>
          </w:tcPr>
          <w:p w14:paraId="48B0E19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县市场监管局</w:t>
            </w: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3996E37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开展优化消费环境行动，严格落实质量标准、信用约束、综合治理、消费维权等制度和标准。加大对消费新领域、新模式以及民生领域重点商品和服务的监督力度，开展守护消费“铁拳”行动，严厉打击售卖假冒伪劣产品、直播带货虚假宣传等违法行为。畅通消费者维权渠道，完善消费争议多元化解机制。</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32E2A6EC">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46040093">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108DE553">
            <w:pPr>
              <w:rPr>
                <w:rFonts w:hint="eastAsia" w:ascii="宋体" w:hAnsi="宋体" w:eastAsia="宋体" w:cs="宋体"/>
                <w:i w:val="0"/>
                <w:color w:val="000000"/>
                <w:sz w:val="22"/>
                <w:szCs w:val="22"/>
                <w:u w:val="none"/>
              </w:rPr>
            </w:pPr>
          </w:p>
        </w:tc>
      </w:tr>
      <w:tr w14:paraId="611A71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3D494FC4">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18DD04C1">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5862800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维护公平竞争的市场秩序，督促政策措施起草单位开展公平竞争审查工作，并组织对有关保障各类经营主体平等参与社会集团采购等相关政策措施开展抽查，防止出台违反公平竞争审查标准的政策措施。</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78DD42B6">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3A60817C">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12B7A45A">
            <w:pPr>
              <w:rPr>
                <w:rFonts w:hint="eastAsia" w:ascii="宋体" w:hAnsi="宋体" w:eastAsia="宋体" w:cs="宋体"/>
                <w:i w:val="0"/>
                <w:color w:val="000000"/>
                <w:sz w:val="22"/>
                <w:szCs w:val="22"/>
                <w:u w:val="none"/>
              </w:rPr>
            </w:pPr>
          </w:p>
        </w:tc>
      </w:tr>
      <w:tr w14:paraId="7EA569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4DD1428F">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0711E3F4">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4E506FB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深化“双随机、一公开”监管，规范实施抽查检查，对诚信守法企业“无事不扰，有求必应”。</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20003E7E">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7937664F">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0B89D384">
            <w:pPr>
              <w:rPr>
                <w:rFonts w:hint="eastAsia" w:ascii="宋体" w:hAnsi="宋体" w:eastAsia="宋体" w:cs="宋体"/>
                <w:i w:val="0"/>
                <w:color w:val="000000"/>
                <w:sz w:val="22"/>
                <w:szCs w:val="22"/>
                <w:u w:val="none"/>
              </w:rPr>
            </w:pPr>
          </w:p>
        </w:tc>
      </w:tr>
      <w:tr w14:paraId="6CF258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404" w:type="pct"/>
            <w:tcBorders>
              <w:top w:val="single" w:color="000000" w:sz="4" w:space="0"/>
              <w:left w:val="single" w:color="000000" w:sz="4" w:space="0"/>
              <w:bottom w:val="single" w:color="000000" w:sz="4" w:space="0"/>
              <w:right w:val="single" w:color="000000" w:sz="4" w:space="0"/>
            </w:tcBorders>
            <w:noWrap/>
            <w:vAlign w:val="center"/>
          </w:tcPr>
          <w:p w14:paraId="6E0E611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十五、</w:t>
            </w:r>
          </w:p>
        </w:tc>
        <w:tc>
          <w:tcPr>
            <w:tcW w:w="565" w:type="pct"/>
            <w:tcBorders>
              <w:top w:val="single" w:color="000000" w:sz="4" w:space="0"/>
              <w:left w:val="single" w:color="000000" w:sz="4" w:space="0"/>
              <w:bottom w:val="single" w:color="000000" w:sz="4" w:space="0"/>
              <w:right w:val="single" w:color="000000" w:sz="4" w:space="0"/>
            </w:tcBorders>
            <w:noWrap/>
            <w:vAlign w:val="center"/>
          </w:tcPr>
          <w:p w14:paraId="50B79E8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县统计局</w:t>
            </w:r>
          </w:p>
        </w:tc>
        <w:tc>
          <w:tcPr>
            <w:tcW w:w="2279" w:type="pct"/>
            <w:tcBorders>
              <w:top w:val="single" w:color="000000" w:sz="4" w:space="0"/>
              <w:left w:val="single" w:color="000000" w:sz="4" w:space="0"/>
              <w:bottom w:val="single" w:color="000000" w:sz="4" w:space="0"/>
              <w:right w:val="single" w:color="000000" w:sz="4" w:space="0"/>
            </w:tcBorders>
            <w:noWrap/>
            <w:vAlign w:val="center"/>
          </w:tcPr>
          <w:p w14:paraId="3B5A44C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落实国、省要求，探索开展消费新业态新模式统计监测。</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2E6A1F89">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2F740F84">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332CFFF0">
            <w:pPr>
              <w:rPr>
                <w:rFonts w:hint="eastAsia" w:ascii="宋体" w:hAnsi="宋体" w:eastAsia="宋体" w:cs="宋体"/>
                <w:i w:val="0"/>
                <w:color w:val="000000"/>
                <w:sz w:val="22"/>
                <w:szCs w:val="22"/>
                <w:u w:val="none"/>
              </w:rPr>
            </w:pPr>
          </w:p>
        </w:tc>
      </w:tr>
      <w:tr w14:paraId="455CE9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404" w:type="pct"/>
            <w:vMerge w:val="restart"/>
            <w:tcBorders>
              <w:top w:val="single" w:color="000000" w:sz="4" w:space="0"/>
              <w:left w:val="single" w:color="000000" w:sz="4" w:space="0"/>
              <w:bottom w:val="single" w:color="000000" w:sz="4" w:space="0"/>
              <w:right w:val="single" w:color="000000" w:sz="4" w:space="0"/>
            </w:tcBorders>
            <w:noWrap/>
            <w:vAlign w:val="center"/>
          </w:tcPr>
          <w:p w14:paraId="04FBD11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十六、</w:t>
            </w:r>
          </w:p>
        </w:tc>
        <w:tc>
          <w:tcPr>
            <w:tcW w:w="565" w:type="pct"/>
            <w:vMerge w:val="restart"/>
            <w:tcBorders>
              <w:top w:val="single" w:color="000000" w:sz="4" w:space="0"/>
              <w:left w:val="single" w:color="000000" w:sz="4" w:space="0"/>
              <w:bottom w:val="single" w:color="000000" w:sz="4" w:space="0"/>
              <w:right w:val="single" w:color="000000" w:sz="4" w:space="0"/>
            </w:tcBorders>
            <w:noWrap/>
            <w:vAlign w:val="center"/>
          </w:tcPr>
          <w:p w14:paraId="3C107F0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县行政审批局</w:t>
            </w: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76C913E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持续深化企业信息变更、注销、开办餐饮店、企业迁移登记等多项“一件事”高效办理。</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1A38021B">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069F272C">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62A55CBB">
            <w:pPr>
              <w:rPr>
                <w:rFonts w:hint="eastAsia" w:ascii="宋体" w:hAnsi="宋体" w:eastAsia="宋体" w:cs="宋体"/>
                <w:i w:val="0"/>
                <w:color w:val="000000"/>
                <w:sz w:val="22"/>
                <w:szCs w:val="22"/>
                <w:u w:val="none"/>
              </w:rPr>
            </w:pPr>
          </w:p>
        </w:tc>
      </w:tr>
      <w:tr w14:paraId="5EBFF5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6F676434">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ign w:val="center"/>
          </w:tcPr>
          <w:p w14:paraId="4275EB5A">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4C57E8D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严格落实市场准入负面清单，深入清理各类市场准入壁垒，营造稳定公平透明可预期的市场环境</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6F547645">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45B968D3">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03B38FCB">
            <w:pPr>
              <w:rPr>
                <w:rFonts w:hint="eastAsia" w:ascii="宋体" w:hAnsi="宋体" w:eastAsia="宋体" w:cs="宋体"/>
                <w:i w:val="0"/>
                <w:color w:val="000000"/>
                <w:sz w:val="22"/>
                <w:szCs w:val="22"/>
                <w:u w:val="none"/>
              </w:rPr>
            </w:pPr>
          </w:p>
        </w:tc>
      </w:tr>
      <w:tr w14:paraId="458341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0" w:hRule="atLeast"/>
        </w:trPr>
        <w:tc>
          <w:tcPr>
            <w:tcW w:w="404" w:type="pct"/>
            <w:vMerge w:val="restart"/>
            <w:tcBorders>
              <w:top w:val="single" w:color="000000" w:sz="4" w:space="0"/>
              <w:left w:val="single" w:color="000000" w:sz="4" w:space="0"/>
              <w:bottom w:val="single" w:color="000000" w:sz="4" w:space="0"/>
              <w:right w:val="single" w:color="000000" w:sz="4" w:space="0"/>
            </w:tcBorders>
            <w:noWrap/>
            <w:vAlign w:val="center"/>
          </w:tcPr>
          <w:p w14:paraId="75403F6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十七、</w:t>
            </w:r>
          </w:p>
        </w:tc>
        <w:tc>
          <w:tcPr>
            <w:tcW w:w="565" w:type="pct"/>
            <w:vMerge w:val="restart"/>
            <w:tcBorders>
              <w:top w:val="single" w:color="000000" w:sz="4" w:space="0"/>
              <w:left w:val="single" w:color="000000" w:sz="4" w:space="0"/>
              <w:bottom w:val="single" w:color="000000" w:sz="4" w:space="0"/>
              <w:right w:val="single" w:color="000000" w:sz="4" w:space="0"/>
            </w:tcBorders>
            <w:noWrap w:val="0"/>
            <w:vAlign w:val="center"/>
          </w:tcPr>
          <w:p w14:paraId="50EEBEC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国家金融监督管理总局盂县监管支局</w:t>
            </w: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519E651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力推动金融产品和金融工具创新，鼓励金融机构提供类别齐全、策略丰富、层次清晰的服务，引导居民通过合法渠道合理配置个人资产，拓宽股息、红利等增收渠道，保护金融消费者特别是中小投资者及广大存款人合法权益。</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5A48A332">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7A899B40">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24A71669">
            <w:pPr>
              <w:rPr>
                <w:rFonts w:hint="eastAsia" w:ascii="宋体" w:hAnsi="宋体" w:eastAsia="宋体" w:cs="宋体"/>
                <w:i w:val="0"/>
                <w:color w:val="000000"/>
                <w:sz w:val="22"/>
                <w:szCs w:val="22"/>
                <w:u w:val="none"/>
              </w:rPr>
            </w:pPr>
          </w:p>
        </w:tc>
      </w:tr>
      <w:tr w14:paraId="713987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2C2994CC">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47A6669">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5E9D9F1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支持符合条件的消费、文旅等项目发行基础设施领域不动产投资信托基金（REITs）。</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471CAD4E">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418B0C1B">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2065DEAF">
            <w:pPr>
              <w:rPr>
                <w:rFonts w:hint="eastAsia" w:ascii="宋体" w:hAnsi="宋体" w:eastAsia="宋体" w:cs="宋体"/>
                <w:i w:val="0"/>
                <w:color w:val="000000"/>
                <w:sz w:val="22"/>
                <w:szCs w:val="22"/>
                <w:u w:val="none"/>
              </w:rPr>
            </w:pPr>
          </w:p>
        </w:tc>
      </w:tr>
      <w:tr w14:paraId="06A8BA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070A23D8">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51ED8BA">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259F184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加大对住宿餐饮、文化旅游、体育健康、养老托育、汽车消费、家电以旧换新、家装消费品“焕新”等领域的金融支持力度，规范汽车、住房消费贷款“返佣”等行为。</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419BF41A">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324ACDEB">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3E5B3E10">
            <w:pPr>
              <w:rPr>
                <w:rFonts w:hint="eastAsia" w:ascii="宋体" w:hAnsi="宋体" w:eastAsia="宋体" w:cs="宋体"/>
                <w:i w:val="0"/>
                <w:color w:val="000000"/>
                <w:sz w:val="22"/>
                <w:szCs w:val="22"/>
                <w:u w:val="none"/>
              </w:rPr>
            </w:pPr>
          </w:p>
        </w:tc>
      </w:tr>
      <w:tr w14:paraId="5D9CE6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77A5718B">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8F2812E">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617076A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鼓励金融机构在依法合规、风险可控、商业可持续的前提下，创新推出额度灵活、期限多样、利率差异的消费贷款产品。简化续贷手续，探索多元化还款模式。落实中央个人消费贷款和消费领域的服务业经营主体贷款贴息政策，对符合条件的按规定给予财政贴息。</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4B48D2DB">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4D556300">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40C76F84">
            <w:pPr>
              <w:rPr>
                <w:rFonts w:hint="eastAsia" w:ascii="宋体" w:hAnsi="宋体" w:eastAsia="宋体" w:cs="宋体"/>
                <w:i w:val="0"/>
                <w:color w:val="000000"/>
                <w:sz w:val="22"/>
                <w:szCs w:val="22"/>
                <w:u w:val="none"/>
              </w:rPr>
            </w:pPr>
          </w:p>
        </w:tc>
      </w:tr>
      <w:tr w14:paraId="730A91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404" w:type="pct"/>
            <w:vMerge w:val="restart"/>
            <w:tcBorders>
              <w:top w:val="single" w:color="000000" w:sz="4" w:space="0"/>
              <w:left w:val="single" w:color="000000" w:sz="4" w:space="0"/>
              <w:bottom w:val="single" w:color="000000" w:sz="4" w:space="0"/>
              <w:right w:val="single" w:color="000000" w:sz="4" w:space="0"/>
            </w:tcBorders>
            <w:noWrap/>
            <w:vAlign w:val="center"/>
          </w:tcPr>
          <w:p w14:paraId="2EDD42E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十八、</w:t>
            </w:r>
          </w:p>
        </w:tc>
        <w:tc>
          <w:tcPr>
            <w:tcW w:w="565" w:type="pct"/>
            <w:vMerge w:val="restart"/>
            <w:tcBorders>
              <w:top w:val="single" w:color="000000" w:sz="4" w:space="0"/>
              <w:left w:val="single" w:color="000000" w:sz="4" w:space="0"/>
              <w:bottom w:val="single" w:color="000000" w:sz="4" w:space="0"/>
              <w:right w:val="single" w:color="000000" w:sz="4" w:space="0"/>
            </w:tcBorders>
            <w:noWrap w:val="0"/>
            <w:vAlign w:val="center"/>
          </w:tcPr>
          <w:p w14:paraId="68F9A3D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县总工会</w:t>
            </w: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752040C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将带薪年休假执行情况作为工会维护职工权益的重要内容，确保劳动者休息休假、劳动报酬等相关权益落实到位。</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2226CAB8">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3DE6CA11">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0224AF77">
            <w:pPr>
              <w:rPr>
                <w:rFonts w:hint="eastAsia" w:ascii="宋体" w:hAnsi="宋体" w:eastAsia="宋体" w:cs="宋体"/>
                <w:i w:val="0"/>
                <w:color w:val="000000"/>
                <w:sz w:val="22"/>
                <w:szCs w:val="22"/>
                <w:u w:val="none"/>
              </w:rPr>
            </w:pPr>
          </w:p>
        </w:tc>
      </w:tr>
      <w:tr w14:paraId="39CC58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43FA3F19">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453B4A0">
            <w:pPr>
              <w:jc w:val="center"/>
              <w:rPr>
                <w:rFonts w:hint="eastAsia" w:ascii="宋体" w:hAnsi="宋体" w:eastAsia="宋体" w:cs="宋体"/>
                <w:i w:val="0"/>
                <w:color w:val="000000"/>
                <w:sz w:val="22"/>
                <w:szCs w:val="22"/>
                <w:u w:val="none"/>
              </w:rPr>
            </w:pPr>
          </w:p>
        </w:tc>
        <w:tc>
          <w:tcPr>
            <w:tcW w:w="2279" w:type="pct"/>
            <w:tcBorders>
              <w:top w:val="single" w:color="000000" w:sz="4" w:space="0"/>
              <w:left w:val="single" w:color="000000" w:sz="4" w:space="0"/>
              <w:bottom w:val="single" w:color="000000" w:sz="4" w:space="0"/>
              <w:right w:val="single" w:color="000000" w:sz="4" w:space="0"/>
            </w:tcBorders>
            <w:noWrap w:val="0"/>
            <w:vAlign w:val="center"/>
          </w:tcPr>
          <w:p w14:paraId="444DE07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鼓励各级工会根据《山西省基层工会经费收支管理实施细则》，将经费用于节日慰问品、职工健身、文化体育等消费领域。</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514027C4">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4C1A25BC">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1900A8A1">
            <w:pPr>
              <w:rPr>
                <w:rFonts w:hint="eastAsia" w:ascii="宋体" w:hAnsi="宋体" w:eastAsia="宋体" w:cs="宋体"/>
                <w:i w:val="0"/>
                <w:color w:val="000000"/>
                <w:sz w:val="22"/>
                <w:szCs w:val="22"/>
                <w:u w:val="none"/>
              </w:rPr>
            </w:pPr>
          </w:p>
        </w:tc>
      </w:tr>
      <w:tr w14:paraId="2AC197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404" w:type="pct"/>
            <w:vMerge w:val="restart"/>
            <w:tcBorders>
              <w:top w:val="single" w:color="000000" w:sz="4" w:space="0"/>
              <w:left w:val="single" w:color="000000" w:sz="4" w:space="0"/>
              <w:bottom w:val="single" w:color="000000" w:sz="4" w:space="0"/>
              <w:right w:val="single" w:color="000000" w:sz="4" w:space="0"/>
            </w:tcBorders>
            <w:noWrap/>
            <w:vAlign w:val="center"/>
          </w:tcPr>
          <w:p w14:paraId="56FF0D2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十九、</w:t>
            </w:r>
          </w:p>
        </w:tc>
        <w:tc>
          <w:tcPr>
            <w:tcW w:w="565" w:type="pct"/>
            <w:vMerge w:val="restart"/>
            <w:tcBorders>
              <w:top w:val="single" w:color="000000" w:sz="4" w:space="0"/>
              <w:left w:val="single" w:color="000000" w:sz="4" w:space="0"/>
              <w:bottom w:val="single" w:color="000000" w:sz="4" w:space="0"/>
              <w:right w:val="single" w:color="000000" w:sz="4" w:space="0"/>
            </w:tcBorders>
            <w:noWrap w:val="0"/>
            <w:vAlign w:val="center"/>
          </w:tcPr>
          <w:p w14:paraId="75EC77A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市生态环境局盂县分局县公安局</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县消防救援大队</w:t>
            </w:r>
          </w:p>
        </w:tc>
        <w:tc>
          <w:tcPr>
            <w:tcW w:w="2279" w:type="pct"/>
            <w:vMerge w:val="restart"/>
            <w:tcBorders>
              <w:top w:val="single" w:color="000000" w:sz="4" w:space="0"/>
              <w:left w:val="single" w:color="000000" w:sz="4" w:space="0"/>
              <w:bottom w:val="single" w:color="000000" w:sz="4" w:space="0"/>
              <w:right w:val="single" w:color="000000" w:sz="4" w:space="0"/>
            </w:tcBorders>
            <w:noWrap w:val="0"/>
            <w:vAlign w:val="center"/>
          </w:tcPr>
          <w:p w14:paraId="23CB57A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深入清理整治环保、安保、消防等重点领域各类市场准入壁垒，营造稳定公平透明可预期的市场环境。</w:t>
            </w: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2A380011">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0A263CF8">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1B534B60">
            <w:pPr>
              <w:rPr>
                <w:rFonts w:hint="eastAsia" w:ascii="宋体" w:hAnsi="宋体" w:eastAsia="宋体" w:cs="宋体"/>
                <w:i w:val="0"/>
                <w:color w:val="000000"/>
                <w:sz w:val="22"/>
                <w:szCs w:val="22"/>
                <w:u w:val="none"/>
              </w:rPr>
            </w:pPr>
          </w:p>
        </w:tc>
      </w:tr>
      <w:tr w14:paraId="113A38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2EC8E18E">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C98708B">
            <w:pPr>
              <w:jc w:val="center"/>
              <w:rPr>
                <w:rFonts w:hint="eastAsia" w:ascii="宋体" w:hAnsi="宋体" w:eastAsia="宋体" w:cs="宋体"/>
                <w:i w:val="0"/>
                <w:color w:val="000000"/>
                <w:sz w:val="22"/>
                <w:szCs w:val="22"/>
                <w:u w:val="none"/>
              </w:rPr>
            </w:pPr>
          </w:p>
        </w:tc>
        <w:tc>
          <w:tcPr>
            <w:tcW w:w="2279" w:type="pct"/>
            <w:vMerge w:val="continue"/>
            <w:tcBorders>
              <w:top w:val="single" w:color="000000" w:sz="4" w:space="0"/>
              <w:left w:val="single" w:color="000000" w:sz="4" w:space="0"/>
              <w:bottom w:val="single" w:color="000000" w:sz="4" w:space="0"/>
              <w:right w:val="single" w:color="000000" w:sz="4" w:space="0"/>
            </w:tcBorders>
            <w:noWrap w:val="0"/>
            <w:vAlign w:val="center"/>
          </w:tcPr>
          <w:p w14:paraId="01304CB9">
            <w:pPr>
              <w:jc w:val="center"/>
              <w:rPr>
                <w:rFonts w:hint="eastAsia" w:ascii="宋体" w:hAnsi="宋体" w:eastAsia="宋体" w:cs="宋体"/>
                <w:i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12BD6587">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1526EBB0">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5DD510C3">
            <w:pPr>
              <w:rPr>
                <w:rFonts w:hint="eastAsia" w:ascii="宋体" w:hAnsi="宋体" w:eastAsia="宋体" w:cs="宋体"/>
                <w:i w:val="0"/>
                <w:color w:val="000000"/>
                <w:sz w:val="22"/>
                <w:szCs w:val="22"/>
                <w:u w:val="none"/>
              </w:rPr>
            </w:pPr>
          </w:p>
        </w:tc>
      </w:tr>
      <w:tr w14:paraId="17CAFB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404" w:type="pct"/>
            <w:vMerge w:val="continue"/>
            <w:tcBorders>
              <w:top w:val="single" w:color="000000" w:sz="4" w:space="0"/>
              <w:left w:val="single" w:color="000000" w:sz="4" w:space="0"/>
              <w:bottom w:val="single" w:color="000000" w:sz="4" w:space="0"/>
              <w:right w:val="single" w:color="000000" w:sz="4" w:space="0"/>
            </w:tcBorders>
            <w:noWrap/>
            <w:vAlign w:val="center"/>
          </w:tcPr>
          <w:p w14:paraId="64B2B5E1">
            <w:pPr>
              <w:jc w:val="center"/>
              <w:rPr>
                <w:rFonts w:hint="eastAsia" w:ascii="宋体" w:hAnsi="宋体" w:eastAsia="宋体" w:cs="宋体"/>
                <w:i w:val="0"/>
                <w:color w:val="000000"/>
                <w:sz w:val="22"/>
                <w:szCs w:val="22"/>
                <w:u w:val="none"/>
              </w:rPr>
            </w:pPr>
          </w:p>
        </w:tc>
        <w:tc>
          <w:tcPr>
            <w:tcW w:w="56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153E1BE">
            <w:pPr>
              <w:jc w:val="center"/>
              <w:rPr>
                <w:rFonts w:hint="eastAsia" w:ascii="宋体" w:hAnsi="宋体" w:eastAsia="宋体" w:cs="宋体"/>
                <w:i w:val="0"/>
                <w:color w:val="000000"/>
                <w:sz w:val="22"/>
                <w:szCs w:val="22"/>
                <w:u w:val="none"/>
              </w:rPr>
            </w:pPr>
          </w:p>
        </w:tc>
        <w:tc>
          <w:tcPr>
            <w:tcW w:w="2279" w:type="pct"/>
            <w:vMerge w:val="continue"/>
            <w:tcBorders>
              <w:top w:val="single" w:color="000000" w:sz="4" w:space="0"/>
              <w:left w:val="single" w:color="000000" w:sz="4" w:space="0"/>
              <w:bottom w:val="single" w:color="000000" w:sz="4" w:space="0"/>
              <w:right w:val="single" w:color="000000" w:sz="4" w:space="0"/>
            </w:tcBorders>
            <w:noWrap w:val="0"/>
            <w:vAlign w:val="center"/>
          </w:tcPr>
          <w:p w14:paraId="64642F9C">
            <w:pPr>
              <w:jc w:val="center"/>
              <w:rPr>
                <w:rFonts w:hint="eastAsia" w:ascii="宋体" w:hAnsi="宋体" w:eastAsia="宋体" w:cs="宋体"/>
                <w:i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noWrap/>
            <w:vAlign w:val="center"/>
          </w:tcPr>
          <w:p w14:paraId="07ACE9A9">
            <w:pPr>
              <w:rPr>
                <w:rFonts w:hint="eastAsia" w:ascii="宋体" w:hAnsi="宋体" w:eastAsia="宋体" w:cs="宋体"/>
                <w:i w:val="0"/>
                <w:color w:val="000000"/>
                <w:sz w:val="22"/>
                <w:szCs w:val="22"/>
                <w:u w:val="none"/>
              </w:rPr>
            </w:pPr>
          </w:p>
        </w:tc>
        <w:tc>
          <w:tcPr>
            <w:tcW w:w="431" w:type="pct"/>
            <w:tcBorders>
              <w:top w:val="single" w:color="000000" w:sz="4" w:space="0"/>
              <w:left w:val="single" w:color="000000" w:sz="4" w:space="0"/>
              <w:bottom w:val="single" w:color="000000" w:sz="4" w:space="0"/>
              <w:right w:val="single" w:color="000000" w:sz="4" w:space="0"/>
            </w:tcBorders>
            <w:noWrap/>
            <w:vAlign w:val="center"/>
          </w:tcPr>
          <w:p w14:paraId="2442002C">
            <w:pPr>
              <w:rPr>
                <w:rFonts w:hint="eastAsia" w:ascii="宋体" w:hAnsi="宋体" w:eastAsia="宋体" w:cs="宋体"/>
                <w:i w:val="0"/>
                <w:color w:val="000000"/>
                <w:sz w:val="22"/>
                <w:szCs w:val="22"/>
                <w:u w:val="none"/>
              </w:rPr>
            </w:pP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5803AF5E">
            <w:pPr>
              <w:rPr>
                <w:rFonts w:hint="eastAsia" w:ascii="宋体" w:hAnsi="宋体" w:eastAsia="宋体" w:cs="宋体"/>
                <w:i w:val="0"/>
                <w:color w:val="000000"/>
                <w:sz w:val="22"/>
                <w:szCs w:val="22"/>
                <w:u w:val="none"/>
              </w:rPr>
            </w:pPr>
          </w:p>
        </w:tc>
      </w:tr>
    </w:tbl>
    <w:p w14:paraId="1A57DAE4"/>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97175B"/>
    <w:rsid w:val="5E9717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1</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2025-10-30T08:36:00Z</dcterms:created>
  <dc:creator>赵瑞</dc:creator>
  <cp:lastModifiedBy>赵瑞</cp:lastModifiedBy>
  <dcterms:modified xsi:type="dcterms:W3CDTF">2025-10-30T08:40:59Z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23CBD27B4CBF413CAAAF74F31E47BA14_11</vt:lpwstr>
  </property>
  <property fmtid="{D5CDD505-2E9C-101B-9397-08002B2CF9AE}" pid="4" name="KSOTemplateDocerSaveRecord">
    <vt:lpwstr>eyJoZGlkIjoiNTU2NThhMjJjODgyYTY4ZGM1ZDk3MWMwZDkxYmVhN2QiLCJ1c2VySWQiOiIxMDU2OTA0NDYyIn0=</vt:lpwstr>
  </property>
</Properties>
</file>