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728CDB">
      <w:pPr>
        <w:pStyle w:val="2"/>
        <w:spacing w:before="0" w:after="0" w:line="240" w:lineRule="auto"/>
        <w:rPr>
          <w:rFonts w:hint="eastAsia" w:ascii="黑体" w:hAnsi="黑体" w:eastAsia="黑体" w:cs="Times New Roman"/>
          <w:b w:val="0"/>
          <w:color w:val="auto"/>
          <w:lang w:eastAsia="zh-CN"/>
        </w:rPr>
      </w:pPr>
      <w:r>
        <w:rPr>
          <w:rFonts w:hint="eastAsia" w:ascii="黑体" w:hAnsi="黑体" w:cs="Times New Roman"/>
          <w:b w:val="0"/>
          <w:color w:val="auto"/>
          <w:lang w:val="en-US" w:eastAsia="zh-CN"/>
        </w:rPr>
        <w:t>附件2</w:t>
      </w:r>
    </w:p>
    <w:p w14:paraId="246A05A4">
      <w:pPr>
        <w:jc w:val="center"/>
        <w:rPr>
          <w:rFonts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lang w:val="en-US" w:eastAsia="zh-CN"/>
        </w:rPr>
        <w:t>盂县</w:t>
      </w:r>
      <w:r>
        <w:rPr>
          <w:rFonts w:hint="eastAsia" w:ascii="方正小标宋简体" w:hAnsi="方正小标宋简体" w:eastAsia="方正小标宋简体" w:cs="方正小标宋简体"/>
          <w:color w:val="auto"/>
          <w:kern w:val="0"/>
          <w:sz w:val="44"/>
          <w:szCs w:val="44"/>
          <w:lang w:eastAsia="zh-CN"/>
        </w:rPr>
        <w:t>气象灾害</w:t>
      </w:r>
      <w:r>
        <w:rPr>
          <w:rFonts w:hint="eastAsia" w:ascii="方正小标宋简体" w:hAnsi="方正小标宋简体" w:eastAsia="方正小标宋简体" w:cs="方正小标宋简体"/>
          <w:color w:val="auto"/>
          <w:kern w:val="0"/>
          <w:sz w:val="44"/>
          <w:szCs w:val="44"/>
        </w:rPr>
        <w:t>应急指挥部及其办公室、成员单位职责</w:t>
      </w:r>
    </w:p>
    <w:tbl>
      <w:tblPr>
        <w:tblStyle w:val="8"/>
        <w:tblW w:w="0" w:type="auto"/>
        <w:jc w:val="center"/>
        <w:tblLayout w:type="fixed"/>
        <w:tblCellMar>
          <w:top w:w="0" w:type="dxa"/>
          <w:left w:w="0" w:type="dxa"/>
          <w:bottom w:w="0" w:type="dxa"/>
          <w:right w:w="0" w:type="dxa"/>
        </w:tblCellMar>
      </w:tblPr>
      <w:tblGrid>
        <w:gridCol w:w="2171"/>
        <w:gridCol w:w="11473"/>
      </w:tblGrid>
      <w:tr w14:paraId="6F3DA639">
        <w:trPr>
          <w:trHeight w:val="567" w:hRule="exact"/>
          <w:jc w:val="center"/>
        </w:trPr>
        <w:tc>
          <w:tcPr>
            <w:tcW w:w="2171" w:type="dxa"/>
            <w:tcBorders>
              <w:top w:val="single" w:color="000000" w:sz="4" w:space="0"/>
              <w:left w:val="single" w:color="000000" w:sz="4" w:space="0"/>
              <w:bottom w:val="single" w:color="000000" w:sz="4" w:space="0"/>
              <w:right w:val="single" w:color="000000" w:sz="4" w:space="0"/>
            </w:tcBorders>
            <w:vAlign w:val="center"/>
          </w:tcPr>
          <w:p w14:paraId="708543CA">
            <w:pPr>
              <w:pStyle w:val="7"/>
              <w:spacing w:before="18"/>
              <w:jc w:val="center"/>
              <w:rPr>
                <w:rFonts w:ascii="黑体" w:hAnsi="黑体" w:eastAsia="黑体" w:cs="黑体"/>
                <w:color w:val="auto"/>
                <w:sz w:val="24"/>
                <w:szCs w:val="24"/>
              </w:rPr>
            </w:pPr>
            <w:r>
              <w:rPr>
                <w:rFonts w:ascii="黑体" w:hAnsi="黑体" w:eastAsia="黑体" w:cs="黑体"/>
                <w:color w:val="auto"/>
                <w:sz w:val="24"/>
                <w:szCs w:val="24"/>
              </w:rPr>
              <w:t>单位名称</w:t>
            </w:r>
          </w:p>
        </w:tc>
        <w:tc>
          <w:tcPr>
            <w:tcW w:w="11473" w:type="dxa"/>
            <w:tcBorders>
              <w:top w:val="single" w:color="000000" w:sz="4" w:space="0"/>
              <w:left w:val="single" w:color="000000" w:sz="4" w:space="0"/>
              <w:bottom w:val="single" w:color="000000" w:sz="4" w:space="0"/>
              <w:right w:val="single" w:color="000000" w:sz="4" w:space="0"/>
            </w:tcBorders>
            <w:vAlign w:val="center"/>
          </w:tcPr>
          <w:p w14:paraId="7D2FA2A9">
            <w:pPr>
              <w:pStyle w:val="7"/>
              <w:spacing w:before="18"/>
              <w:ind w:right="5331"/>
              <w:jc w:val="right"/>
              <w:rPr>
                <w:rFonts w:ascii="黑体" w:hAnsi="黑体" w:eastAsia="黑体" w:cs="黑体"/>
                <w:color w:val="auto"/>
                <w:sz w:val="24"/>
                <w:szCs w:val="24"/>
              </w:rPr>
            </w:pPr>
            <w:r>
              <w:rPr>
                <w:rFonts w:ascii="黑体" w:hAnsi="黑体" w:eastAsia="黑体" w:cs="黑体"/>
                <w:color w:val="auto"/>
                <w:sz w:val="24"/>
                <w:szCs w:val="24"/>
              </w:rPr>
              <w:t>主要职责</w:t>
            </w:r>
          </w:p>
        </w:tc>
      </w:tr>
      <w:tr w14:paraId="6042698D">
        <w:tblPrEx>
          <w:tblCellMar>
            <w:top w:w="0" w:type="dxa"/>
            <w:left w:w="0" w:type="dxa"/>
            <w:bottom w:w="0" w:type="dxa"/>
            <w:right w:w="0" w:type="dxa"/>
          </w:tblCellMar>
        </w:tblPrEx>
        <w:trPr>
          <w:trHeight w:val="1587" w:hRule="exact"/>
          <w:jc w:val="center"/>
        </w:trPr>
        <w:tc>
          <w:tcPr>
            <w:tcW w:w="2171" w:type="dxa"/>
            <w:tcBorders>
              <w:top w:val="single" w:color="000000" w:sz="4" w:space="0"/>
              <w:left w:val="single" w:color="000000" w:sz="4" w:space="0"/>
              <w:right w:val="single" w:color="000000" w:sz="4" w:space="0"/>
            </w:tcBorders>
            <w:vAlign w:val="center"/>
          </w:tcPr>
          <w:p w14:paraId="0A77873E">
            <w:pPr>
              <w:pStyle w:val="7"/>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县指挥部</w:t>
            </w:r>
          </w:p>
        </w:tc>
        <w:tc>
          <w:tcPr>
            <w:tcW w:w="11473" w:type="dxa"/>
            <w:tcBorders>
              <w:top w:val="single" w:color="000000" w:sz="4" w:space="0"/>
              <w:left w:val="single" w:color="000000" w:sz="4" w:space="0"/>
              <w:bottom w:val="single" w:color="000000" w:sz="4" w:space="0"/>
              <w:right w:val="single" w:color="000000" w:sz="4" w:space="0"/>
            </w:tcBorders>
            <w:vAlign w:val="center"/>
          </w:tcPr>
          <w:p w14:paraId="23E09E17">
            <w:pPr>
              <w:pStyle w:val="7"/>
              <w:keepNext w:val="0"/>
              <w:keepLines w:val="0"/>
              <w:pageBreakBefore w:val="0"/>
              <w:widowControl w:val="0"/>
              <w:kinsoku/>
              <w:wordWrap/>
              <w:overflowPunct/>
              <w:topLinePunct w:val="0"/>
              <w:autoSpaceDE/>
              <w:autoSpaceDN/>
              <w:bidi w:val="0"/>
              <w:adjustRightInd/>
              <w:snapToGrid/>
              <w:ind w:left="102"/>
              <w:jc w:val="left"/>
              <w:textAlignment w:val="auto"/>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贯彻落实国家、省委、省政府、市委、市政府及县委、县政府关于气象灾害防范应对工作的决策部署，统筹协调全县气象灾害防范治理工作，制定气象灾害总体规划、重要措施，指导协调气象灾害风险防控、监测预警、调查评估和善后工作，组织指挥气象灾害应急处置工作，决定县级层面气象应急响应级别并组织落实响应措施，落实县委、县政府及县应急救援总指挥部交办的气象灾害应急处置的其他重大事项。</w:t>
            </w:r>
          </w:p>
        </w:tc>
      </w:tr>
      <w:tr w14:paraId="175160C6">
        <w:tblPrEx>
          <w:tblCellMar>
            <w:top w:w="0" w:type="dxa"/>
            <w:left w:w="0" w:type="dxa"/>
            <w:bottom w:w="0" w:type="dxa"/>
            <w:right w:w="0" w:type="dxa"/>
          </w:tblCellMar>
        </w:tblPrEx>
        <w:trPr>
          <w:trHeight w:val="1587" w:hRule="exact"/>
          <w:jc w:val="center"/>
        </w:trPr>
        <w:tc>
          <w:tcPr>
            <w:tcW w:w="2171" w:type="dxa"/>
            <w:tcBorders>
              <w:top w:val="single" w:color="000000" w:sz="4" w:space="0"/>
              <w:left w:val="single" w:color="000000" w:sz="4" w:space="0"/>
              <w:right w:val="single" w:color="000000" w:sz="4" w:space="0"/>
            </w:tcBorders>
            <w:vAlign w:val="center"/>
          </w:tcPr>
          <w:p w14:paraId="2A9D517F">
            <w:pPr>
              <w:pStyle w:val="7"/>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县指挥部</w:t>
            </w:r>
            <w:r>
              <w:rPr>
                <w:rFonts w:ascii="仿宋_GB2312" w:hAnsi="仿宋_GB2312" w:eastAsia="仿宋_GB2312" w:cs="仿宋_GB2312"/>
                <w:color w:val="auto"/>
                <w:sz w:val="24"/>
                <w:szCs w:val="24"/>
              </w:rPr>
              <w:t>办公室</w:t>
            </w:r>
          </w:p>
          <w:p w14:paraId="28976381">
            <w:pPr>
              <w:pStyle w:val="7"/>
              <w:jc w:val="center"/>
              <w:rPr>
                <w:rFonts w:ascii="仿宋_GB2312" w:hAnsi="仿宋_GB2312" w:eastAsia="仿宋_GB2312" w:cs="仿宋_GB2312"/>
                <w:color w:val="auto"/>
                <w:sz w:val="24"/>
                <w:szCs w:val="24"/>
              </w:rPr>
            </w:pPr>
            <w:r>
              <w:rPr>
                <w:rFonts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CN"/>
              </w:rPr>
              <w:t>县</w:t>
            </w:r>
            <w:r>
              <w:rPr>
                <w:rFonts w:ascii="仿宋_GB2312" w:hAnsi="仿宋_GB2312" w:eastAsia="仿宋_GB2312" w:cs="仿宋_GB2312"/>
                <w:color w:val="auto"/>
                <w:sz w:val="24"/>
                <w:szCs w:val="24"/>
              </w:rPr>
              <w:t>气象局）</w:t>
            </w:r>
          </w:p>
        </w:tc>
        <w:tc>
          <w:tcPr>
            <w:tcW w:w="11473" w:type="dxa"/>
            <w:tcBorders>
              <w:top w:val="single" w:color="000000" w:sz="4" w:space="0"/>
              <w:left w:val="single" w:color="000000" w:sz="4" w:space="0"/>
              <w:bottom w:val="single" w:color="000000" w:sz="4" w:space="0"/>
              <w:right w:val="single" w:color="000000" w:sz="4" w:space="0"/>
            </w:tcBorders>
            <w:vAlign w:val="center"/>
          </w:tcPr>
          <w:p w14:paraId="66FB7CFB">
            <w:pPr>
              <w:pStyle w:val="7"/>
              <w:keepNext w:val="0"/>
              <w:keepLines w:val="0"/>
              <w:pageBreakBefore w:val="0"/>
              <w:widowControl w:val="0"/>
              <w:kinsoku/>
              <w:wordWrap/>
              <w:overflowPunct/>
              <w:topLinePunct w:val="0"/>
              <w:autoSpaceDE/>
              <w:autoSpaceDN/>
              <w:bidi w:val="0"/>
              <w:adjustRightInd/>
              <w:snapToGrid/>
              <w:spacing w:line="240" w:lineRule="auto"/>
              <w:ind w:left="102"/>
              <w:jc w:val="left"/>
              <w:textAlignment w:val="auto"/>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承担气象灾害应急指挥部日常工作，制定、修订气象灾害专项应急预案，开展气象灾害风险防控和监测预警工作，组织桌面推演、实兵演练等应对气象灾害专项训练，协调各方面力量参加气象灾害救援行动，协助县委、县政府指定的负责同志组织气象灾害应急处置工作，协调推进调查评估和善后处置工作，报告和发布气象灾害信息，指导</w:t>
            </w:r>
            <w:r>
              <w:rPr>
                <w:rFonts w:hint="eastAsia" w:ascii="仿宋_GB2312" w:hAnsi="仿宋_GB2312" w:eastAsia="仿宋_GB2312" w:cs="仿宋_GB2312"/>
                <w:color w:val="auto"/>
                <w:sz w:val="24"/>
                <w:szCs w:val="24"/>
                <w:lang w:val="en-US" w:eastAsia="zh-CN"/>
              </w:rPr>
              <w:t>乡（镇）</w:t>
            </w:r>
            <w:r>
              <w:rPr>
                <w:rFonts w:hint="eastAsia" w:ascii="仿宋_GB2312" w:hAnsi="仿宋_GB2312" w:eastAsia="仿宋_GB2312" w:cs="仿宋_GB2312"/>
                <w:color w:val="auto"/>
                <w:sz w:val="24"/>
                <w:szCs w:val="24"/>
                <w:lang w:eastAsia="zh-CN"/>
              </w:rPr>
              <w:t>气象灾害的应对工作。</w:t>
            </w:r>
          </w:p>
        </w:tc>
      </w:tr>
      <w:tr w14:paraId="03B79A27">
        <w:tblPrEx>
          <w:tblCellMar>
            <w:top w:w="0" w:type="dxa"/>
            <w:left w:w="0" w:type="dxa"/>
            <w:bottom w:w="0" w:type="dxa"/>
            <w:right w:w="0" w:type="dxa"/>
          </w:tblCellMar>
        </w:tblPrEx>
        <w:trPr>
          <w:trHeight w:val="567" w:hRule="exact"/>
          <w:jc w:val="center"/>
        </w:trPr>
        <w:tc>
          <w:tcPr>
            <w:tcW w:w="2171" w:type="dxa"/>
            <w:tcBorders>
              <w:top w:val="single" w:color="000000" w:sz="4" w:space="0"/>
              <w:left w:val="single" w:color="000000" w:sz="4" w:space="0"/>
              <w:bottom w:val="single" w:color="000000" w:sz="4" w:space="0"/>
              <w:right w:val="single" w:color="000000" w:sz="4" w:space="0"/>
            </w:tcBorders>
            <w:vAlign w:val="center"/>
          </w:tcPr>
          <w:p w14:paraId="50094CCB">
            <w:pPr>
              <w:pStyle w:val="7"/>
              <w:spacing w:before="76"/>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县</w:t>
            </w:r>
            <w:r>
              <w:rPr>
                <w:rFonts w:ascii="仿宋_GB2312" w:hAnsi="仿宋_GB2312" w:eastAsia="仿宋_GB2312" w:cs="仿宋_GB2312"/>
                <w:color w:val="auto"/>
                <w:sz w:val="24"/>
                <w:szCs w:val="24"/>
              </w:rPr>
              <w:t>委宣传部</w:t>
            </w:r>
          </w:p>
        </w:tc>
        <w:tc>
          <w:tcPr>
            <w:tcW w:w="11473" w:type="dxa"/>
            <w:tcBorders>
              <w:top w:val="single" w:color="000000" w:sz="4" w:space="0"/>
              <w:left w:val="single" w:color="000000" w:sz="4" w:space="0"/>
              <w:bottom w:val="single" w:color="000000" w:sz="4" w:space="0"/>
              <w:right w:val="single" w:color="000000" w:sz="4" w:space="0"/>
            </w:tcBorders>
            <w:vAlign w:val="center"/>
          </w:tcPr>
          <w:p w14:paraId="764313AC">
            <w:pPr>
              <w:pStyle w:val="7"/>
              <w:keepNext w:val="0"/>
              <w:keepLines w:val="0"/>
              <w:pageBreakBefore w:val="0"/>
              <w:widowControl w:val="0"/>
              <w:kinsoku/>
              <w:wordWrap/>
              <w:overflowPunct/>
              <w:topLinePunct w:val="0"/>
              <w:autoSpaceDE/>
              <w:autoSpaceDN/>
              <w:bidi w:val="0"/>
              <w:adjustRightInd/>
              <w:snapToGrid/>
              <w:ind w:left="102"/>
              <w:jc w:val="left"/>
              <w:textAlignment w:val="auto"/>
              <w:rPr>
                <w:rFonts w:ascii="仿宋_GB2312" w:hAnsi="仿宋_GB2312" w:eastAsia="仿宋_GB2312" w:cs="仿宋_GB2312"/>
                <w:color w:val="auto"/>
                <w:sz w:val="24"/>
                <w:szCs w:val="24"/>
                <w:lang w:eastAsia="zh-CN"/>
              </w:rPr>
            </w:pPr>
            <w:r>
              <w:rPr>
                <w:rFonts w:ascii="仿宋_GB2312" w:hAnsi="仿宋_GB2312" w:eastAsia="仿宋_GB2312" w:cs="仿宋_GB2312"/>
                <w:color w:val="auto"/>
                <w:sz w:val="24"/>
                <w:szCs w:val="24"/>
                <w:lang w:eastAsia="zh-CN"/>
              </w:rPr>
              <w:t>根据</w:t>
            </w:r>
            <w:r>
              <w:rPr>
                <w:rFonts w:hint="eastAsia" w:ascii="仿宋_GB2312" w:hAnsi="仿宋_GB2312" w:eastAsia="仿宋_GB2312" w:cs="仿宋_GB2312"/>
                <w:color w:val="auto"/>
                <w:sz w:val="24"/>
                <w:szCs w:val="24"/>
                <w:lang w:eastAsia="zh-CN"/>
              </w:rPr>
              <w:t>县指挥部</w:t>
            </w:r>
            <w:r>
              <w:rPr>
                <w:rFonts w:ascii="仿宋_GB2312" w:hAnsi="仿宋_GB2312" w:eastAsia="仿宋_GB2312" w:cs="仿宋_GB2312"/>
                <w:color w:val="auto"/>
                <w:sz w:val="24"/>
                <w:szCs w:val="24"/>
                <w:lang w:eastAsia="zh-CN"/>
              </w:rPr>
              <w:t>的统一部署</w:t>
            </w:r>
            <w:r>
              <w:rPr>
                <w:rFonts w:hint="eastAsia" w:ascii="仿宋_GB2312" w:hAnsi="仿宋_GB2312" w:eastAsia="仿宋_GB2312" w:cs="仿宋_GB2312"/>
                <w:color w:val="auto"/>
                <w:sz w:val="24"/>
                <w:szCs w:val="24"/>
                <w:lang w:eastAsia="zh-CN"/>
              </w:rPr>
              <w:t>，</w:t>
            </w:r>
            <w:r>
              <w:rPr>
                <w:rFonts w:ascii="仿宋_GB2312" w:hAnsi="仿宋_GB2312" w:eastAsia="仿宋_GB2312" w:cs="仿宋_GB2312"/>
                <w:color w:val="auto"/>
                <w:sz w:val="24"/>
                <w:szCs w:val="24"/>
                <w:lang w:eastAsia="zh-CN"/>
              </w:rPr>
              <w:t>组织协调开展气象灾</w:t>
            </w:r>
            <w:r>
              <w:rPr>
                <w:rFonts w:hint="eastAsia" w:ascii="仿宋_GB2312" w:hAnsi="仿宋_GB2312" w:eastAsia="仿宋_GB2312" w:cs="仿宋_GB2312"/>
                <w:color w:val="auto"/>
                <w:sz w:val="24"/>
                <w:szCs w:val="24"/>
                <w:lang w:eastAsia="zh-CN"/>
              </w:rPr>
              <w:t>害应急新闻报道，加强舆情监控，做好舆论引导工作。</w:t>
            </w:r>
          </w:p>
        </w:tc>
      </w:tr>
      <w:tr w14:paraId="77045B10">
        <w:tblPrEx>
          <w:tblCellMar>
            <w:top w:w="0" w:type="dxa"/>
            <w:left w:w="0" w:type="dxa"/>
            <w:bottom w:w="0" w:type="dxa"/>
            <w:right w:w="0" w:type="dxa"/>
          </w:tblCellMar>
        </w:tblPrEx>
        <w:trPr>
          <w:trHeight w:val="850" w:hRule="exact"/>
          <w:jc w:val="center"/>
        </w:trPr>
        <w:tc>
          <w:tcPr>
            <w:tcW w:w="2171" w:type="dxa"/>
            <w:tcBorders>
              <w:top w:val="single" w:color="000000" w:sz="4" w:space="0"/>
              <w:left w:val="single" w:color="000000" w:sz="4" w:space="0"/>
              <w:bottom w:val="single" w:color="000000" w:sz="4" w:space="0"/>
              <w:right w:val="single" w:color="000000" w:sz="4" w:space="0"/>
            </w:tcBorders>
            <w:vAlign w:val="center"/>
          </w:tcPr>
          <w:p w14:paraId="3E8F3B8D">
            <w:pPr>
              <w:pStyle w:val="7"/>
              <w:spacing w:before="76"/>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县</w:t>
            </w:r>
            <w:r>
              <w:rPr>
                <w:rFonts w:ascii="仿宋_GB2312" w:hAnsi="仿宋_GB2312" w:eastAsia="仿宋_GB2312" w:cs="仿宋_GB2312"/>
                <w:color w:val="auto"/>
                <w:sz w:val="24"/>
                <w:szCs w:val="24"/>
              </w:rPr>
              <w:t>发展改革</w:t>
            </w:r>
            <w:r>
              <w:rPr>
                <w:rFonts w:hint="eastAsia" w:ascii="仿宋_GB2312" w:hAnsi="仿宋_GB2312" w:eastAsia="仿宋_GB2312" w:cs="仿宋_GB2312"/>
                <w:color w:val="auto"/>
                <w:sz w:val="24"/>
                <w:szCs w:val="24"/>
                <w:lang w:val="en-US" w:eastAsia="zh-CN"/>
              </w:rPr>
              <w:t>局</w:t>
            </w:r>
          </w:p>
        </w:tc>
        <w:tc>
          <w:tcPr>
            <w:tcW w:w="11473" w:type="dxa"/>
            <w:tcBorders>
              <w:top w:val="single" w:color="000000" w:sz="4" w:space="0"/>
              <w:left w:val="single" w:color="000000" w:sz="4" w:space="0"/>
              <w:bottom w:val="single" w:color="000000" w:sz="4" w:space="0"/>
              <w:right w:val="single" w:color="000000" w:sz="4" w:space="0"/>
            </w:tcBorders>
            <w:vAlign w:val="center"/>
          </w:tcPr>
          <w:p w14:paraId="47512615">
            <w:pPr>
              <w:pStyle w:val="7"/>
              <w:keepNext w:val="0"/>
              <w:keepLines w:val="0"/>
              <w:pageBreakBefore w:val="0"/>
              <w:widowControl w:val="0"/>
              <w:kinsoku/>
              <w:wordWrap/>
              <w:overflowPunct/>
              <w:topLinePunct w:val="0"/>
              <w:autoSpaceDE/>
              <w:autoSpaceDN/>
              <w:bidi w:val="0"/>
              <w:adjustRightInd/>
              <w:snapToGrid/>
              <w:ind w:left="102"/>
              <w:jc w:val="left"/>
              <w:textAlignment w:val="auto"/>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负责落实重要物资和应急储备物资动用计划和指令，配合相关部门做好气象灾害防御基础设施规划、立项、建设和灾后恢复重建工作。</w:t>
            </w:r>
          </w:p>
        </w:tc>
      </w:tr>
      <w:tr w14:paraId="48B1636C">
        <w:tblPrEx>
          <w:tblCellMar>
            <w:top w:w="0" w:type="dxa"/>
            <w:left w:w="0" w:type="dxa"/>
            <w:bottom w:w="0" w:type="dxa"/>
            <w:right w:w="0" w:type="dxa"/>
          </w:tblCellMar>
        </w:tblPrEx>
        <w:trPr>
          <w:trHeight w:val="1134"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859A4">
            <w:pPr>
              <w:pStyle w:val="7"/>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县</w:t>
            </w:r>
            <w:r>
              <w:rPr>
                <w:rFonts w:ascii="仿宋_GB2312" w:hAnsi="仿宋_GB2312" w:eastAsia="仿宋_GB2312" w:cs="仿宋_GB2312"/>
                <w:color w:val="auto"/>
                <w:sz w:val="24"/>
                <w:szCs w:val="24"/>
              </w:rPr>
              <w:t>教育</w:t>
            </w:r>
            <w:r>
              <w:rPr>
                <w:rFonts w:hint="eastAsia" w:ascii="仿宋_GB2312" w:hAnsi="仿宋_GB2312" w:eastAsia="仿宋_GB2312" w:cs="仿宋_GB2312"/>
                <w:color w:val="auto"/>
                <w:sz w:val="24"/>
                <w:szCs w:val="24"/>
                <w:lang w:eastAsia="zh-CN"/>
              </w:rPr>
              <w:t>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4086F">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监督指导全县教育系统气象灾害防御工作；负责全县教育系统气象预警</w:t>
            </w:r>
            <w:r>
              <w:rPr>
                <w:rFonts w:hint="eastAsia" w:ascii="仿宋_GB2312" w:hAnsi="仿宋_GB2312" w:eastAsia="仿宋_GB2312" w:cs="仿宋_GB2312"/>
                <w:color w:val="auto"/>
                <w:sz w:val="24"/>
                <w:szCs w:val="24"/>
                <w:lang w:val="en-US" w:eastAsia="zh-CN"/>
              </w:rPr>
              <w:t>信号</w:t>
            </w:r>
            <w:r>
              <w:rPr>
                <w:rFonts w:hint="eastAsia" w:ascii="仿宋_GB2312" w:hAnsi="仿宋_GB2312" w:eastAsia="仿宋_GB2312" w:cs="仿宋_GB2312"/>
                <w:color w:val="auto"/>
                <w:sz w:val="24"/>
                <w:szCs w:val="24"/>
                <w:lang w:eastAsia="zh-CN"/>
              </w:rPr>
              <w:t>再传播工作；督促指导学校落实极端天气停课等应急措施，必要时组织实施避险疏散；指导学校对学生开展气象灾害防御和气象防灾减灾知识教育工作；组织指导学校灾后恢复工作。</w:t>
            </w:r>
          </w:p>
        </w:tc>
      </w:tr>
      <w:tr w14:paraId="0003A8D6">
        <w:tblPrEx>
          <w:tblCellMar>
            <w:top w:w="0" w:type="dxa"/>
            <w:left w:w="0" w:type="dxa"/>
            <w:bottom w:w="0" w:type="dxa"/>
            <w:right w:w="0" w:type="dxa"/>
          </w:tblCellMar>
        </w:tblPrEx>
        <w:trPr>
          <w:trHeight w:val="517"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289B3">
            <w:pPr>
              <w:pStyle w:val="7"/>
              <w:spacing w:before="18"/>
              <w:jc w:val="center"/>
              <w:rPr>
                <w:rFonts w:hint="eastAsia" w:ascii="仿宋_GB2312" w:hAnsi="仿宋_GB2312" w:eastAsia="仿宋_GB2312" w:cs="仿宋_GB2312"/>
                <w:color w:val="auto"/>
                <w:kern w:val="0"/>
                <w:sz w:val="24"/>
                <w:szCs w:val="24"/>
                <w:lang w:val="en-US" w:eastAsia="zh-CN" w:bidi="ar-SA"/>
              </w:rPr>
            </w:pPr>
            <w:r>
              <w:rPr>
                <w:rFonts w:ascii="黑体" w:hAnsi="黑体" w:eastAsia="黑体" w:cs="黑体"/>
                <w:color w:val="auto"/>
                <w:sz w:val="24"/>
                <w:szCs w:val="24"/>
              </w:rPr>
              <w:t>单位名称</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90A16">
            <w:pPr>
              <w:pStyle w:val="7"/>
              <w:spacing w:before="18"/>
              <w:ind w:right="5331" w:rightChars="0"/>
              <w:jc w:val="right"/>
              <w:rPr>
                <w:rFonts w:hint="eastAsia" w:ascii="仿宋_GB2312" w:hAnsi="仿宋_GB2312" w:eastAsia="仿宋_GB2312" w:cs="仿宋_GB2312"/>
                <w:color w:val="auto"/>
                <w:kern w:val="0"/>
                <w:sz w:val="24"/>
                <w:szCs w:val="24"/>
                <w:lang w:val="en-US" w:eastAsia="zh-CN" w:bidi="ar-SA"/>
              </w:rPr>
            </w:pPr>
            <w:r>
              <w:rPr>
                <w:rFonts w:ascii="黑体" w:hAnsi="黑体" w:eastAsia="黑体" w:cs="黑体"/>
                <w:color w:val="auto"/>
                <w:sz w:val="24"/>
                <w:szCs w:val="24"/>
              </w:rPr>
              <w:t>主要职责</w:t>
            </w:r>
          </w:p>
        </w:tc>
      </w:tr>
      <w:tr w14:paraId="440BF224">
        <w:tblPrEx>
          <w:tblCellMar>
            <w:top w:w="0" w:type="dxa"/>
            <w:left w:w="0" w:type="dxa"/>
            <w:bottom w:w="0" w:type="dxa"/>
            <w:right w:w="0" w:type="dxa"/>
          </w:tblCellMar>
        </w:tblPrEx>
        <w:trPr>
          <w:trHeight w:val="850"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5BD5">
            <w:pPr>
              <w:pStyle w:val="7"/>
              <w:spacing w:before="0"/>
              <w:jc w:val="center"/>
              <w:rPr>
                <w:rFonts w:hint="eastAsia" w:ascii="仿宋_GB2312" w:hAnsi="仿宋_GB2312" w:eastAsia="仿宋_GB2312" w:cs="仿宋_GB2312"/>
                <w:color w:val="auto"/>
                <w:kern w:val="0"/>
                <w:sz w:val="24"/>
                <w:szCs w:val="24"/>
                <w:lang w:val="en-US" w:eastAsia="zh-CN" w:bidi="ar-SA"/>
              </w:rPr>
            </w:pPr>
            <w:r>
              <w:rPr>
                <w:rFonts w:hint="default" w:ascii="仿宋_GB2312" w:hAnsi="仿宋_GB2312" w:eastAsia="仿宋_GB2312" w:cs="仿宋_GB2312"/>
                <w:color w:val="auto"/>
                <w:sz w:val="24"/>
                <w:szCs w:val="24"/>
                <w:lang w:eastAsia="zh-CN"/>
              </w:rPr>
              <w:t>县</w:t>
            </w:r>
            <w:r>
              <w:rPr>
                <w:rFonts w:hint="default" w:ascii="仿宋_GB2312" w:hAnsi="仿宋_GB2312" w:eastAsia="仿宋_GB2312" w:cs="仿宋_GB2312"/>
                <w:color w:val="auto"/>
                <w:sz w:val="24"/>
                <w:szCs w:val="24"/>
              </w:rPr>
              <w:t>工</w:t>
            </w:r>
            <w:r>
              <w:rPr>
                <w:rFonts w:hint="eastAsia" w:ascii="仿宋_GB2312" w:hAnsi="仿宋_GB2312" w:eastAsia="仿宋_GB2312" w:cs="仿宋_GB2312"/>
                <w:color w:val="auto"/>
                <w:sz w:val="24"/>
                <w:szCs w:val="24"/>
                <w:lang w:val="en-US" w:eastAsia="zh-CN"/>
              </w:rPr>
              <w:t>信</w:t>
            </w:r>
            <w:r>
              <w:rPr>
                <w:rFonts w:hint="default" w:ascii="仿宋_GB2312" w:hAnsi="仿宋_GB2312" w:eastAsia="仿宋_GB2312" w:cs="仿宋_GB2312"/>
                <w:color w:val="auto"/>
                <w:sz w:val="24"/>
                <w:szCs w:val="24"/>
              </w:rPr>
              <w:t>和</w:t>
            </w:r>
            <w:r>
              <w:rPr>
                <w:rFonts w:hint="default" w:ascii="仿宋_GB2312" w:hAnsi="仿宋_GB2312" w:eastAsia="仿宋_GB2312" w:cs="仿宋_GB2312"/>
                <w:color w:val="auto"/>
                <w:sz w:val="24"/>
                <w:szCs w:val="24"/>
                <w:lang w:val="en-US" w:eastAsia="zh-CN"/>
              </w:rPr>
              <w:t>科技</w:t>
            </w:r>
            <w:r>
              <w:rPr>
                <w:rFonts w:hint="default" w:ascii="仿宋_GB2312" w:hAnsi="仿宋_GB2312" w:eastAsia="仿宋_GB2312" w:cs="仿宋_GB2312"/>
                <w:color w:val="auto"/>
                <w:sz w:val="24"/>
                <w:szCs w:val="24"/>
              </w:rPr>
              <w:t>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51160">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sz w:val="24"/>
                <w:szCs w:val="24"/>
                <w:lang w:eastAsia="zh-CN"/>
              </w:rPr>
              <w:t>负责应急状态下重要物资的生产组织工作，负责医药物资的储备和应急调拨。组织协调各电信运营企业做好通信保障应急工作。</w:t>
            </w:r>
          </w:p>
        </w:tc>
      </w:tr>
      <w:tr w14:paraId="67FC3574">
        <w:tblPrEx>
          <w:tblCellMar>
            <w:top w:w="0" w:type="dxa"/>
            <w:left w:w="0" w:type="dxa"/>
            <w:bottom w:w="0" w:type="dxa"/>
            <w:right w:w="0" w:type="dxa"/>
          </w:tblCellMar>
        </w:tblPrEx>
        <w:trPr>
          <w:trHeight w:val="850"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2DA75">
            <w:pPr>
              <w:pStyle w:val="7"/>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县</w:t>
            </w:r>
            <w:r>
              <w:rPr>
                <w:rFonts w:ascii="仿宋_GB2312" w:hAnsi="仿宋_GB2312" w:eastAsia="仿宋_GB2312" w:cs="仿宋_GB2312"/>
                <w:color w:val="auto"/>
                <w:sz w:val="24"/>
                <w:szCs w:val="24"/>
              </w:rPr>
              <w:t>公安</w:t>
            </w:r>
            <w:r>
              <w:rPr>
                <w:rFonts w:hint="eastAsia" w:ascii="仿宋_GB2312" w:hAnsi="仿宋_GB2312" w:eastAsia="仿宋_GB2312" w:cs="仿宋_GB2312"/>
                <w:color w:val="auto"/>
                <w:sz w:val="24"/>
                <w:szCs w:val="24"/>
                <w:lang w:eastAsia="zh-CN"/>
              </w:rPr>
              <w:t>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FC53B">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ascii="仿宋_GB2312" w:hAnsi="仿宋_GB2312" w:eastAsia="仿宋_GB2312" w:cs="仿宋_GB2312"/>
                <w:color w:val="auto"/>
                <w:kern w:val="0"/>
                <w:sz w:val="24"/>
                <w:szCs w:val="24"/>
                <w:lang w:val="en-US" w:eastAsia="zh-CN" w:bidi="ar-SA"/>
              </w:rPr>
            </w:pPr>
            <w:r>
              <w:rPr>
                <w:rFonts w:ascii="仿宋_GB2312" w:hAnsi="仿宋_GB2312" w:eastAsia="仿宋_GB2312" w:cs="仿宋_GB2312"/>
                <w:color w:val="auto"/>
                <w:sz w:val="24"/>
                <w:szCs w:val="24"/>
                <w:lang w:eastAsia="zh-CN"/>
              </w:rPr>
              <w:t>负责气象灾害期间灾区的治安维护</w:t>
            </w:r>
            <w:r>
              <w:rPr>
                <w:rFonts w:hint="eastAsia" w:ascii="仿宋_GB2312" w:hAnsi="仿宋_GB2312" w:eastAsia="仿宋_GB2312" w:cs="仿宋_GB2312"/>
                <w:color w:val="auto"/>
                <w:sz w:val="24"/>
                <w:szCs w:val="24"/>
                <w:lang w:eastAsia="zh-CN"/>
              </w:rPr>
              <w:t>，</w:t>
            </w:r>
            <w:r>
              <w:rPr>
                <w:rFonts w:ascii="仿宋_GB2312" w:hAnsi="仿宋_GB2312" w:eastAsia="仿宋_GB2312" w:cs="仿宋_GB2312"/>
                <w:color w:val="auto"/>
                <w:sz w:val="24"/>
                <w:szCs w:val="24"/>
                <w:lang w:eastAsia="zh-CN"/>
              </w:rPr>
              <w:t>对灾区及周边道路实施交通疏导</w:t>
            </w:r>
            <w:r>
              <w:rPr>
                <w:rFonts w:hint="eastAsia" w:ascii="仿宋_GB2312" w:hAnsi="仿宋_GB2312" w:eastAsia="仿宋_GB2312" w:cs="仿宋_GB2312"/>
                <w:color w:val="auto"/>
                <w:sz w:val="24"/>
                <w:szCs w:val="24"/>
                <w:lang w:eastAsia="zh-CN"/>
              </w:rPr>
              <w:t>，</w:t>
            </w:r>
            <w:r>
              <w:rPr>
                <w:rFonts w:ascii="仿宋_GB2312" w:hAnsi="仿宋_GB2312" w:eastAsia="仿宋_GB2312" w:cs="仿宋_GB2312"/>
                <w:color w:val="auto"/>
                <w:sz w:val="24"/>
                <w:szCs w:val="24"/>
                <w:lang w:eastAsia="zh-CN"/>
              </w:rPr>
              <w:t>必要时采取交通管制</w:t>
            </w:r>
            <w:r>
              <w:rPr>
                <w:rFonts w:hint="eastAsia" w:ascii="仿宋_GB2312" w:hAnsi="仿宋_GB2312" w:eastAsia="仿宋_GB2312" w:cs="仿宋_GB2312"/>
                <w:color w:val="auto"/>
                <w:sz w:val="24"/>
                <w:szCs w:val="24"/>
                <w:lang w:eastAsia="zh-CN"/>
              </w:rPr>
              <w:t>，</w:t>
            </w:r>
            <w:r>
              <w:rPr>
                <w:rFonts w:ascii="仿宋_GB2312" w:hAnsi="仿宋_GB2312" w:eastAsia="仿宋_GB2312" w:cs="仿宋_GB2312"/>
                <w:color w:val="auto"/>
                <w:sz w:val="24"/>
                <w:szCs w:val="24"/>
                <w:lang w:eastAsia="zh-CN"/>
              </w:rPr>
              <w:t>保障救援通道畅通；协助做好</w:t>
            </w:r>
            <w:r>
              <w:rPr>
                <w:rFonts w:hint="eastAsia" w:ascii="仿宋_GB2312" w:hAnsi="仿宋_GB2312" w:eastAsia="仿宋_GB2312" w:cs="仿宋_GB2312"/>
                <w:color w:val="auto"/>
                <w:sz w:val="24"/>
                <w:szCs w:val="24"/>
                <w:lang w:eastAsia="zh-CN"/>
              </w:rPr>
              <w:t>气象灾害</w:t>
            </w:r>
            <w:r>
              <w:rPr>
                <w:rFonts w:ascii="仿宋_GB2312" w:hAnsi="仿宋_GB2312" w:eastAsia="仿宋_GB2312" w:cs="仿宋_GB2312"/>
                <w:color w:val="auto"/>
                <w:sz w:val="24"/>
                <w:szCs w:val="24"/>
                <w:lang w:eastAsia="zh-CN"/>
              </w:rPr>
              <w:t>应急人工影响天气作业所涉及的民用爆炸物品的运输审批工作</w:t>
            </w:r>
            <w:r>
              <w:rPr>
                <w:rFonts w:hint="eastAsia" w:ascii="仿宋_GB2312" w:hAnsi="仿宋_GB2312" w:eastAsia="仿宋_GB2312" w:cs="仿宋_GB2312"/>
                <w:color w:val="auto"/>
                <w:sz w:val="24"/>
                <w:szCs w:val="24"/>
                <w:lang w:eastAsia="zh-CN"/>
              </w:rPr>
              <w:t>。</w:t>
            </w:r>
          </w:p>
        </w:tc>
      </w:tr>
      <w:tr w14:paraId="045FCE35">
        <w:tblPrEx>
          <w:tblCellMar>
            <w:top w:w="0" w:type="dxa"/>
            <w:left w:w="0" w:type="dxa"/>
            <w:bottom w:w="0" w:type="dxa"/>
            <w:right w:w="0" w:type="dxa"/>
          </w:tblCellMar>
        </w:tblPrEx>
        <w:trPr>
          <w:trHeight w:val="567"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00EF">
            <w:pPr>
              <w:pStyle w:val="7"/>
              <w:spacing w:before="36" w:line="300" w:lineRule="exact"/>
              <w:ind w:left="102" w:leftChars="0" w:right="-17" w:rightChars="0"/>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县民政局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F776">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负责灾区死亡人员的遗体火化和受灾群众的救助工作。</w:t>
            </w:r>
          </w:p>
        </w:tc>
      </w:tr>
      <w:tr w14:paraId="5801B805">
        <w:tblPrEx>
          <w:tblCellMar>
            <w:top w:w="0" w:type="dxa"/>
            <w:left w:w="0" w:type="dxa"/>
            <w:bottom w:w="0" w:type="dxa"/>
            <w:right w:w="0" w:type="dxa"/>
          </w:tblCellMar>
        </w:tblPrEx>
        <w:trPr>
          <w:trHeight w:val="567"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B1BC9">
            <w:pPr>
              <w:pStyle w:val="7"/>
              <w:spacing w:before="76"/>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县</w:t>
            </w:r>
            <w:r>
              <w:rPr>
                <w:rFonts w:ascii="仿宋_GB2312" w:hAnsi="仿宋_GB2312" w:eastAsia="仿宋_GB2312" w:cs="仿宋_GB2312"/>
                <w:color w:val="auto"/>
                <w:sz w:val="24"/>
                <w:szCs w:val="24"/>
              </w:rPr>
              <w:t>财政</w:t>
            </w:r>
            <w:r>
              <w:rPr>
                <w:rFonts w:hint="eastAsia" w:ascii="仿宋_GB2312" w:hAnsi="仿宋_GB2312" w:eastAsia="仿宋_GB2312" w:cs="仿宋_GB2312"/>
                <w:color w:val="auto"/>
                <w:sz w:val="24"/>
                <w:szCs w:val="24"/>
                <w:lang w:eastAsia="zh-CN"/>
              </w:rPr>
              <w:t>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46F4">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按照分级负担的原则积极筹措气象灾害应急处置所需经费，并会同县气象局做好经费使用的监督管理工作。</w:t>
            </w:r>
          </w:p>
        </w:tc>
      </w:tr>
      <w:tr w14:paraId="12C07777">
        <w:tblPrEx>
          <w:tblCellMar>
            <w:top w:w="0" w:type="dxa"/>
            <w:left w:w="0" w:type="dxa"/>
            <w:bottom w:w="0" w:type="dxa"/>
            <w:right w:w="0" w:type="dxa"/>
          </w:tblCellMar>
        </w:tblPrEx>
        <w:trPr>
          <w:trHeight w:val="1134"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0B5EF">
            <w:pPr>
              <w:ind w:firstLine="240" w:firstLineChars="100"/>
              <w:rPr>
                <w:rFonts w:hint="eastAsia" w:ascii="仿宋_GB2312" w:hAnsi="仿宋_GB2312" w:eastAsia="仿宋_GB2312" w:cs="仿宋_GB2312"/>
                <w:color w:val="auto"/>
                <w:sz w:val="24"/>
                <w:szCs w:val="24"/>
                <w:lang w:eastAsia="zh-CN"/>
              </w:rPr>
            </w:pPr>
          </w:p>
          <w:p w14:paraId="3EBC3581">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县</w:t>
            </w:r>
            <w:r>
              <w:rPr>
                <w:rFonts w:hint="eastAsia" w:ascii="仿宋_GB2312" w:hAnsi="仿宋_GB2312" w:eastAsia="仿宋_GB2312" w:cs="仿宋_GB2312"/>
                <w:color w:val="auto"/>
                <w:sz w:val="24"/>
                <w:szCs w:val="24"/>
              </w:rPr>
              <w:t>自然资源局</w:t>
            </w:r>
          </w:p>
          <w:p w14:paraId="57D5EC22">
            <w:pPr>
              <w:pStyle w:val="7"/>
              <w:spacing w:before="76"/>
              <w:jc w:val="center"/>
              <w:rPr>
                <w:rFonts w:hint="eastAsia" w:ascii="仿宋_GB2312" w:hAnsi="仿宋_GB2312" w:eastAsia="仿宋_GB2312" w:cs="仿宋_GB2312"/>
                <w:color w:val="auto"/>
                <w:kern w:val="0"/>
                <w:sz w:val="24"/>
                <w:szCs w:val="24"/>
                <w:lang w:val="en-US" w:eastAsia="zh-CN" w:bidi="ar-SA"/>
              </w:rPr>
            </w:pP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BA53F">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负责提供反映地形、地势、交通、河流、村落、植被覆盖等现状的地理信息，为应急处置提供技术支撑。及时向县指挥部提供地质灾害气象风险预警信息；负责指导开展地质灾害治理，开展群测群防，组织进行地质灾害应急调查。</w:t>
            </w:r>
          </w:p>
        </w:tc>
      </w:tr>
      <w:tr w14:paraId="0FA8F52E">
        <w:tblPrEx>
          <w:tblCellMar>
            <w:top w:w="0" w:type="dxa"/>
            <w:left w:w="0" w:type="dxa"/>
            <w:bottom w:w="0" w:type="dxa"/>
            <w:right w:w="0" w:type="dxa"/>
          </w:tblCellMar>
        </w:tblPrEx>
        <w:trPr>
          <w:trHeight w:val="850"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F69AF">
            <w:pPr>
              <w:pStyle w:val="7"/>
              <w:spacing w:before="76"/>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市生态环境局</w:t>
            </w:r>
          </w:p>
          <w:p w14:paraId="52A3E7D1">
            <w:pPr>
              <w:pStyle w:val="7"/>
              <w:spacing w:before="76"/>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rPr>
              <w:t>盂县分局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2E34E">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hint="eastAsia" w:ascii="仿宋_GB2312" w:hAnsi="仿宋_GB2312" w:eastAsia="仿宋_GB2312" w:cs="仿宋_GB2312"/>
                <w:color w:val="auto"/>
                <w:kern w:val="0"/>
                <w:sz w:val="24"/>
                <w:szCs w:val="24"/>
                <w:lang w:val="en-US" w:eastAsia="zh-CN" w:bidi="ar-SA"/>
              </w:rPr>
            </w:pPr>
            <w:r>
              <w:rPr>
                <w:rFonts w:ascii="仿宋_GB2312" w:hAnsi="仿宋_GB2312" w:eastAsia="仿宋_GB2312" w:cs="仿宋_GB2312"/>
                <w:color w:val="auto"/>
                <w:sz w:val="24"/>
                <w:szCs w:val="24"/>
                <w:lang w:eastAsia="zh-CN"/>
              </w:rPr>
              <w:t>及时向</w:t>
            </w:r>
            <w:r>
              <w:rPr>
                <w:rFonts w:hint="eastAsia" w:ascii="仿宋_GB2312" w:hAnsi="仿宋_GB2312" w:eastAsia="仿宋_GB2312" w:cs="仿宋_GB2312"/>
                <w:color w:val="auto"/>
                <w:sz w:val="24"/>
                <w:szCs w:val="24"/>
                <w:lang w:eastAsia="zh-CN"/>
              </w:rPr>
              <w:t>县指挥部</w:t>
            </w:r>
            <w:r>
              <w:rPr>
                <w:rFonts w:ascii="仿宋_GB2312" w:hAnsi="仿宋_GB2312" w:eastAsia="仿宋_GB2312" w:cs="仿宋_GB2312"/>
                <w:color w:val="auto"/>
                <w:sz w:val="24"/>
                <w:szCs w:val="24"/>
                <w:lang w:eastAsia="zh-CN"/>
              </w:rPr>
              <w:t>提供环境监</w:t>
            </w:r>
            <w:r>
              <w:rPr>
                <w:rFonts w:hint="eastAsia" w:ascii="仿宋_GB2312" w:hAnsi="仿宋_GB2312" w:eastAsia="仿宋_GB2312" w:cs="仿宋_GB2312"/>
                <w:color w:val="auto"/>
                <w:sz w:val="24"/>
                <w:szCs w:val="24"/>
                <w:lang w:eastAsia="zh-CN"/>
              </w:rPr>
              <w:t>测等信息；负责事发地环境监测；指导事发地</w:t>
            </w:r>
            <w:r>
              <w:rPr>
                <w:rFonts w:hint="eastAsia" w:ascii="仿宋_GB2312" w:hAnsi="仿宋_GB2312" w:eastAsia="仿宋_GB2312" w:cs="仿宋_GB2312"/>
                <w:color w:val="auto"/>
                <w:sz w:val="24"/>
                <w:szCs w:val="24"/>
                <w:lang w:val="en-US" w:eastAsia="zh-CN"/>
              </w:rPr>
              <w:t>乡（镇）</w:t>
            </w:r>
            <w:r>
              <w:rPr>
                <w:rFonts w:hint="eastAsia" w:ascii="仿宋_GB2312" w:hAnsi="仿宋_GB2312" w:eastAsia="仿宋_GB2312" w:cs="仿宋_GB2312"/>
                <w:color w:val="auto"/>
                <w:sz w:val="24"/>
                <w:szCs w:val="24"/>
                <w:lang w:eastAsia="zh-CN"/>
              </w:rPr>
              <w:t>人民政府开展次生环境污染事件应急处置工作。</w:t>
            </w:r>
          </w:p>
        </w:tc>
      </w:tr>
      <w:tr w14:paraId="7C91EB0E">
        <w:tblPrEx>
          <w:tblCellMar>
            <w:top w:w="0" w:type="dxa"/>
            <w:left w:w="0" w:type="dxa"/>
            <w:bottom w:w="0" w:type="dxa"/>
            <w:right w:w="0" w:type="dxa"/>
          </w:tblCellMar>
        </w:tblPrEx>
        <w:trPr>
          <w:trHeight w:val="850"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4E818">
            <w:pPr>
              <w:pStyle w:val="7"/>
              <w:spacing w:before="76"/>
              <w:jc w:val="center"/>
              <w:rPr>
                <w:rFonts w:hint="default"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val="en-US" w:eastAsia="zh-CN"/>
              </w:rPr>
              <w:t>县林业局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A73C4">
            <w:pPr>
              <w:pStyle w:val="7"/>
              <w:keepNext w:val="0"/>
              <w:keepLines w:val="0"/>
              <w:pageBreakBefore w:val="0"/>
              <w:widowControl w:val="0"/>
              <w:kinsoku/>
              <w:wordWrap/>
              <w:overflowPunct/>
              <w:topLinePunct w:val="0"/>
              <w:autoSpaceDE/>
              <w:autoSpaceDN/>
              <w:bidi w:val="0"/>
              <w:adjustRightInd/>
              <w:snapToGrid/>
              <w:spacing w:line="240" w:lineRule="auto"/>
              <w:ind w:left="102" w:lef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及时向指挥部反馈林草火情，根据火点监测和火险气象条件等，加强对高火险地区和其他灾害性天气对林业生产影响的监控。负责林业防御气象灾害和灾后林业救灾恢复生产技术指导。</w:t>
            </w:r>
          </w:p>
        </w:tc>
      </w:tr>
      <w:tr w14:paraId="450D37B1">
        <w:tblPrEx>
          <w:tblCellMar>
            <w:top w:w="0" w:type="dxa"/>
            <w:left w:w="0" w:type="dxa"/>
            <w:bottom w:w="0" w:type="dxa"/>
            <w:right w:w="0" w:type="dxa"/>
          </w:tblCellMar>
        </w:tblPrEx>
        <w:trPr>
          <w:trHeight w:val="1134"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0402F">
            <w:pPr>
              <w:pStyle w:val="7"/>
              <w:spacing w:before="76"/>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县住建局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5AFD6">
            <w:pPr>
              <w:pStyle w:val="7"/>
              <w:keepNext w:val="0"/>
              <w:keepLines w:val="0"/>
              <w:pageBreakBefore w:val="0"/>
              <w:widowControl w:val="0"/>
              <w:kinsoku/>
              <w:wordWrap/>
              <w:overflowPunct/>
              <w:topLinePunct w:val="0"/>
              <w:autoSpaceDE/>
              <w:autoSpaceDN/>
              <w:bidi w:val="0"/>
              <w:adjustRightInd/>
              <w:snapToGrid/>
              <w:spacing w:line="240" w:lineRule="auto"/>
              <w:ind w:left="102" w:lef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负责指导做好房屋建筑和市政基础设施工程气象灾害防御设施的检查和落实工作；做好受灾房屋的损害程度评估；负责监督指导灾后恢复重建工程建设。及时向县指挥部反馈城市内涝、道路结冰等信息，做好城市道路的排涝、除冰除雪工作。做好受灾市政基础设施工程的损害程度评估。</w:t>
            </w:r>
          </w:p>
        </w:tc>
      </w:tr>
      <w:tr w14:paraId="2FD17336">
        <w:tblPrEx>
          <w:tblCellMar>
            <w:top w:w="0" w:type="dxa"/>
            <w:left w:w="0" w:type="dxa"/>
            <w:bottom w:w="0" w:type="dxa"/>
            <w:right w:w="0" w:type="dxa"/>
          </w:tblCellMar>
        </w:tblPrEx>
        <w:trPr>
          <w:trHeight w:val="850"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75D98">
            <w:pPr>
              <w:pStyle w:val="7"/>
              <w:spacing w:before="76"/>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县交通运输局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E4581">
            <w:pPr>
              <w:pStyle w:val="7"/>
              <w:keepNext w:val="0"/>
              <w:keepLines w:val="0"/>
              <w:pageBreakBefore w:val="0"/>
              <w:widowControl w:val="0"/>
              <w:kinsoku/>
              <w:wordWrap/>
              <w:overflowPunct/>
              <w:topLinePunct w:val="0"/>
              <w:autoSpaceDE/>
              <w:autoSpaceDN/>
              <w:bidi w:val="0"/>
              <w:adjustRightInd/>
              <w:snapToGrid/>
              <w:spacing w:line="240" w:lineRule="auto"/>
              <w:ind w:left="102" w:lef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及时向县指挥部提供管辖公路路段交通受气象灾害影响情况，协助征用应急运输车辆，做好抢险救援人员、物资和灾民疏散的运输工作。</w:t>
            </w:r>
          </w:p>
        </w:tc>
      </w:tr>
      <w:tr w14:paraId="4509A521">
        <w:tblPrEx>
          <w:tblCellMar>
            <w:top w:w="0" w:type="dxa"/>
            <w:left w:w="0" w:type="dxa"/>
            <w:bottom w:w="0" w:type="dxa"/>
            <w:right w:w="0" w:type="dxa"/>
          </w:tblCellMar>
        </w:tblPrEx>
        <w:trPr>
          <w:trHeight w:val="535"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C02C7">
            <w:pPr>
              <w:pStyle w:val="7"/>
              <w:spacing w:before="18"/>
              <w:jc w:val="center"/>
              <w:rPr>
                <w:rFonts w:hint="eastAsia" w:ascii="仿宋_GB2312" w:hAnsi="仿宋_GB2312" w:eastAsia="仿宋_GB2312" w:cs="仿宋_GB2312"/>
                <w:color w:val="auto"/>
                <w:kern w:val="0"/>
                <w:sz w:val="24"/>
                <w:szCs w:val="24"/>
                <w:lang w:val="en-US" w:eastAsia="zh-CN" w:bidi="ar-SA"/>
              </w:rPr>
            </w:pPr>
            <w:r>
              <w:rPr>
                <w:rFonts w:ascii="黑体" w:hAnsi="黑体" w:eastAsia="黑体" w:cs="黑体"/>
                <w:color w:val="auto"/>
                <w:sz w:val="24"/>
                <w:szCs w:val="24"/>
              </w:rPr>
              <w:t>单位名称</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B046">
            <w:pPr>
              <w:pStyle w:val="7"/>
              <w:spacing w:before="18"/>
              <w:ind w:right="5331" w:rightChars="0"/>
              <w:jc w:val="right"/>
              <w:rPr>
                <w:rFonts w:hint="eastAsia" w:ascii="仿宋_GB2312" w:hAnsi="仿宋_GB2312" w:eastAsia="仿宋_GB2312" w:cs="仿宋_GB2312"/>
                <w:color w:val="auto"/>
                <w:kern w:val="0"/>
                <w:sz w:val="24"/>
                <w:szCs w:val="24"/>
                <w:lang w:val="en-US" w:eastAsia="zh-CN" w:bidi="ar-SA"/>
              </w:rPr>
            </w:pPr>
            <w:r>
              <w:rPr>
                <w:rFonts w:ascii="黑体" w:hAnsi="黑体" w:eastAsia="黑体" w:cs="黑体"/>
                <w:color w:val="auto"/>
                <w:sz w:val="24"/>
                <w:szCs w:val="24"/>
              </w:rPr>
              <w:t>主要职责</w:t>
            </w:r>
          </w:p>
        </w:tc>
      </w:tr>
      <w:tr w14:paraId="0E7500F6">
        <w:tblPrEx>
          <w:tblCellMar>
            <w:top w:w="0" w:type="dxa"/>
            <w:left w:w="0" w:type="dxa"/>
            <w:bottom w:w="0" w:type="dxa"/>
            <w:right w:w="0" w:type="dxa"/>
          </w:tblCellMar>
        </w:tblPrEx>
        <w:trPr>
          <w:trHeight w:val="780" w:hRule="atLeas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E888E">
            <w:pPr>
              <w:pStyle w:val="7"/>
              <w:spacing w:before="76" w:line="240" w:lineRule="auto"/>
              <w:ind w:left="0" w:leftChars="0"/>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盂县公路段</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96696">
            <w:pPr>
              <w:pStyle w:val="7"/>
              <w:keepNext w:val="0"/>
              <w:keepLines w:val="0"/>
              <w:pageBreakBefore w:val="0"/>
              <w:widowControl w:val="0"/>
              <w:kinsoku/>
              <w:wordWrap/>
              <w:overflowPunct/>
              <w:topLinePunct w:val="0"/>
              <w:autoSpaceDE/>
              <w:autoSpaceDN/>
              <w:bidi w:val="0"/>
              <w:adjustRightInd/>
              <w:snapToGrid/>
              <w:spacing w:line="240" w:lineRule="auto"/>
              <w:ind w:left="102" w:lef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及时向县指挥部提供管辖公路路段交通受气象灾害影响情况，负责尽快恢复被破坏的公路及交通设施，保障公路通行。</w:t>
            </w:r>
          </w:p>
        </w:tc>
      </w:tr>
      <w:tr w14:paraId="0E831BC5">
        <w:tblPrEx>
          <w:tblCellMar>
            <w:top w:w="0" w:type="dxa"/>
            <w:left w:w="0" w:type="dxa"/>
            <w:bottom w:w="0" w:type="dxa"/>
            <w:right w:w="0" w:type="dxa"/>
          </w:tblCellMar>
        </w:tblPrEx>
        <w:trPr>
          <w:trHeight w:val="850" w:hRule="atLeast"/>
          <w:jc w:val="center"/>
        </w:trPr>
        <w:tc>
          <w:tcPr>
            <w:tcW w:w="2171" w:type="dxa"/>
            <w:tcBorders>
              <w:top w:val="single" w:color="000000" w:sz="4" w:space="0"/>
              <w:left w:val="single" w:color="000000" w:sz="4" w:space="0"/>
              <w:bottom w:val="single" w:color="auto" w:sz="4" w:space="0"/>
              <w:right w:val="single" w:color="000000" w:sz="4" w:space="0"/>
            </w:tcBorders>
            <w:shd w:val="clear" w:color="auto" w:fill="auto"/>
            <w:vAlign w:val="center"/>
          </w:tcPr>
          <w:p w14:paraId="7D57A996">
            <w:pPr>
              <w:pStyle w:val="7"/>
              <w:spacing w:before="76" w:line="240" w:lineRule="auto"/>
              <w:ind w:left="0" w:leftChars="0"/>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盂县</w:t>
            </w:r>
            <w:r>
              <w:rPr>
                <w:rFonts w:hint="eastAsia" w:ascii="仿宋_GB2312" w:hAnsi="仿宋_GB2312" w:eastAsia="仿宋_GB2312" w:cs="仿宋_GB2312"/>
                <w:color w:val="auto"/>
                <w:sz w:val="24"/>
                <w:szCs w:val="24"/>
                <w:lang w:val="en-US" w:eastAsia="zh-CN"/>
              </w:rPr>
              <w:t>东</w:t>
            </w:r>
            <w:r>
              <w:rPr>
                <w:rFonts w:hint="eastAsia" w:ascii="仿宋_GB2312" w:hAnsi="仿宋_GB2312" w:eastAsia="仿宋_GB2312" w:cs="仿宋_GB2312"/>
                <w:color w:val="auto"/>
                <w:sz w:val="24"/>
                <w:szCs w:val="24"/>
                <w:lang w:eastAsia="zh-CN"/>
              </w:rPr>
              <w:t>公路段</w:t>
            </w:r>
          </w:p>
        </w:tc>
        <w:tc>
          <w:tcPr>
            <w:tcW w:w="11473" w:type="dxa"/>
            <w:tcBorders>
              <w:top w:val="single" w:color="000000" w:sz="4" w:space="0"/>
              <w:left w:val="single" w:color="000000" w:sz="4" w:space="0"/>
              <w:bottom w:val="single" w:color="auto" w:sz="4" w:space="0"/>
              <w:right w:val="single" w:color="000000" w:sz="4" w:space="0"/>
            </w:tcBorders>
            <w:shd w:val="clear" w:color="auto" w:fill="auto"/>
            <w:vAlign w:val="center"/>
          </w:tcPr>
          <w:p w14:paraId="6C5E694F">
            <w:pPr>
              <w:pStyle w:val="7"/>
              <w:keepNext w:val="0"/>
              <w:keepLines w:val="0"/>
              <w:pageBreakBefore w:val="0"/>
              <w:widowControl w:val="0"/>
              <w:kinsoku/>
              <w:wordWrap/>
              <w:overflowPunct/>
              <w:topLinePunct w:val="0"/>
              <w:autoSpaceDE/>
              <w:autoSpaceDN/>
              <w:bidi w:val="0"/>
              <w:adjustRightInd/>
              <w:snapToGrid/>
              <w:spacing w:line="240" w:lineRule="auto"/>
              <w:ind w:left="102" w:lef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及时向县指挥部提供管辖公路路段交通受气象灾害影响情况，负责尽快恢复被破坏的公路及交通设施，保障公路通行。</w:t>
            </w:r>
          </w:p>
        </w:tc>
      </w:tr>
      <w:tr w14:paraId="5D943B0E">
        <w:tblPrEx>
          <w:tblCellMar>
            <w:top w:w="0" w:type="dxa"/>
            <w:left w:w="0" w:type="dxa"/>
            <w:bottom w:w="0" w:type="dxa"/>
            <w:right w:w="0" w:type="dxa"/>
          </w:tblCellMar>
        </w:tblPrEx>
        <w:trPr>
          <w:trHeight w:val="850" w:hRule="atLeast"/>
          <w:jc w:val="center"/>
        </w:trPr>
        <w:tc>
          <w:tcPr>
            <w:tcW w:w="2171" w:type="dxa"/>
            <w:tcBorders>
              <w:top w:val="single" w:color="auto" w:sz="4" w:space="0"/>
              <w:left w:val="single" w:color="auto" w:sz="4" w:space="0"/>
              <w:right w:val="single" w:color="000000" w:sz="4" w:space="0"/>
            </w:tcBorders>
            <w:shd w:val="clear" w:color="auto" w:fill="auto"/>
            <w:vAlign w:val="center"/>
          </w:tcPr>
          <w:p w14:paraId="064961ED">
            <w:pPr>
              <w:pStyle w:val="7"/>
              <w:spacing w:before="76"/>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县</w:t>
            </w:r>
            <w:r>
              <w:rPr>
                <w:rFonts w:ascii="仿宋_GB2312" w:hAnsi="仿宋_GB2312" w:eastAsia="仿宋_GB2312" w:cs="仿宋_GB2312"/>
                <w:color w:val="auto"/>
                <w:sz w:val="24"/>
                <w:szCs w:val="24"/>
              </w:rPr>
              <w:t>水利</w:t>
            </w:r>
            <w:r>
              <w:rPr>
                <w:rFonts w:hint="eastAsia" w:ascii="仿宋_GB2312" w:hAnsi="仿宋_GB2312" w:eastAsia="仿宋_GB2312" w:cs="仿宋_GB2312"/>
                <w:color w:val="auto"/>
                <w:sz w:val="24"/>
                <w:szCs w:val="24"/>
                <w:lang w:eastAsia="zh-CN"/>
              </w:rPr>
              <w:t>局</w:t>
            </w:r>
          </w:p>
        </w:tc>
        <w:tc>
          <w:tcPr>
            <w:tcW w:w="11473" w:type="dxa"/>
            <w:tcBorders>
              <w:top w:val="single" w:color="auto" w:sz="4" w:space="0"/>
              <w:left w:val="single" w:color="000000" w:sz="4" w:space="0"/>
              <w:bottom w:val="single" w:color="000000" w:sz="4" w:space="0"/>
              <w:right w:val="single" w:color="auto" w:sz="4" w:space="0"/>
            </w:tcBorders>
            <w:shd w:val="clear" w:color="auto" w:fill="auto"/>
            <w:vAlign w:val="center"/>
          </w:tcPr>
          <w:p w14:paraId="7F523EB4">
            <w:pPr>
              <w:pStyle w:val="7"/>
              <w:keepNext w:val="0"/>
              <w:keepLines w:val="0"/>
              <w:pageBreakBefore w:val="0"/>
              <w:widowControl w:val="0"/>
              <w:kinsoku/>
              <w:wordWrap/>
              <w:overflowPunct/>
              <w:topLinePunct w:val="0"/>
              <w:autoSpaceDE/>
              <w:autoSpaceDN/>
              <w:bidi w:val="0"/>
              <w:adjustRightInd/>
              <w:snapToGrid/>
              <w:spacing w:line="240" w:lineRule="auto"/>
              <w:ind w:left="102" w:lef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负责水情信息的监测，及时向县指挥部提供水情信息。组织、指导因气象灾害诱发的山洪灾害防范和应急处置工作；负责对水利工程设施进行巡查管控。</w:t>
            </w:r>
          </w:p>
        </w:tc>
      </w:tr>
      <w:tr w14:paraId="147C8EA8">
        <w:tblPrEx>
          <w:tblCellMar>
            <w:top w:w="0" w:type="dxa"/>
            <w:left w:w="0" w:type="dxa"/>
            <w:bottom w:w="0" w:type="dxa"/>
            <w:right w:w="0" w:type="dxa"/>
          </w:tblCellMar>
        </w:tblPrEx>
        <w:trPr>
          <w:trHeight w:val="850" w:hRule="atLeast"/>
          <w:jc w:val="center"/>
        </w:trPr>
        <w:tc>
          <w:tcPr>
            <w:tcW w:w="2171" w:type="dxa"/>
            <w:tcBorders>
              <w:top w:val="single" w:color="000000" w:sz="4" w:space="0"/>
              <w:left w:val="single" w:color="auto" w:sz="4" w:space="0"/>
              <w:bottom w:val="single" w:color="auto" w:sz="4" w:space="0"/>
              <w:right w:val="single" w:color="000000" w:sz="4" w:space="0"/>
            </w:tcBorders>
            <w:shd w:val="clear" w:color="auto" w:fill="auto"/>
            <w:vAlign w:val="center"/>
          </w:tcPr>
          <w:p w14:paraId="5BE8BDA6">
            <w:pPr>
              <w:spacing w:before="76" w:line="400" w:lineRule="exact"/>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0"/>
                <w:sz w:val="24"/>
                <w:szCs w:val="24"/>
              </w:rPr>
              <w:t>县文化和旅游局</w:t>
            </w:r>
          </w:p>
        </w:tc>
        <w:tc>
          <w:tcPr>
            <w:tcW w:w="11473" w:type="dxa"/>
            <w:tcBorders>
              <w:top w:val="single" w:color="000000" w:sz="4" w:space="0"/>
              <w:left w:val="single" w:color="000000" w:sz="4" w:space="0"/>
              <w:bottom w:val="single" w:color="auto" w:sz="4" w:space="0"/>
              <w:right w:val="single" w:color="auto" w:sz="4" w:space="0"/>
            </w:tcBorders>
            <w:shd w:val="clear" w:color="auto" w:fill="auto"/>
            <w:vAlign w:val="center"/>
          </w:tcPr>
          <w:p w14:paraId="15214AED">
            <w:pPr>
              <w:pStyle w:val="7"/>
              <w:keepNext w:val="0"/>
              <w:keepLines w:val="0"/>
              <w:pageBreakBefore w:val="0"/>
              <w:widowControl w:val="0"/>
              <w:kinsoku/>
              <w:wordWrap/>
              <w:overflowPunct/>
              <w:topLinePunct w:val="0"/>
              <w:autoSpaceDE/>
              <w:autoSpaceDN/>
              <w:bidi w:val="0"/>
              <w:adjustRightInd/>
              <w:snapToGrid/>
              <w:spacing w:line="240" w:lineRule="auto"/>
              <w:ind w:left="102" w:lef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val="en-US" w:eastAsia="zh-CN"/>
              </w:rPr>
              <w:t>指导</w:t>
            </w:r>
            <w:r>
              <w:rPr>
                <w:rFonts w:hint="eastAsia" w:ascii="仿宋_GB2312" w:hAnsi="仿宋_GB2312" w:eastAsia="仿宋_GB2312" w:cs="仿宋_GB2312"/>
                <w:color w:val="auto"/>
                <w:sz w:val="24"/>
                <w:szCs w:val="24"/>
                <w:lang w:eastAsia="zh-CN"/>
              </w:rPr>
              <w:t>景区主管部门</w:t>
            </w:r>
            <w:r>
              <w:rPr>
                <w:rFonts w:ascii="仿宋_GB2312" w:hAnsi="仿宋_GB2312" w:eastAsia="仿宋_GB2312" w:cs="仿宋_GB2312"/>
                <w:color w:val="auto"/>
                <w:sz w:val="24"/>
                <w:szCs w:val="24"/>
                <w:lang w:eastAsia="zh-CN"/>
              </w:rPr>
              <w:t>做好</w:t>
            </w:r>
            <w:r>
              <w:rPr>
                <w:rFonts w:ascii="仿宋_GB2312" w:hAnsi="仿宋_GB2312" w:eastAsia="仿宋_GB2312" w:cs="仿宋_GB2312"/>
                <w:color w:val="auto"/>
                <w:spacing w:val="-60"/>
                <w:sz w:val="24"/>
                <w:szCs w:val="24"/>
                <w:lang w:eastAsia="zh-CN"/>
              </w:rPr>
              <w:t xml:space="preserve"> </w:t>
            </w:r>
            <w:r>
              <w:rPr>
                <w:rFonts w:ascii="仿宋_GB2312" w:hAnsi="仿宋_GB2312" w:eastAsia="仿宋_GB2312" w:cs="仿宋_GB2312"/>
                <w:color w:val="auto"/>
                <w:sz w:val="24"/>
                <w:szCs w:val="24"/>
                <w:lang w:eastAsia="zh-CN"/>
              </w:rPr>
              <w:t>A</w:t>
            </w:r>
            <w:r>
              <w:rPr>
                <w:rFonts w:ascii="仿宋_GB2312" w:hAnsi="仿宋_GB2312" w:eastAsia="仿宋_GB2312" w:cs="仿宋_GB2312"/>
                <w:color w:val="auto"/>
                <w:spacing w:val="-60"/>
                <w:sz w:val="24"/>
                <w:szCs w:val="24"/>
                <w:lang w:eastAsia="zh-CN"/>
              </w:rPr>
              <w:t xml:space="preserve"> </w:t>
            </w:r>
            <w:r>
              <w:rPr>
                <w:rFonts w:ascii="仿宋_GB2312" w:hAnsi="仿宋_GB2312" w:eastAsia="仿宋_GB2312" w:cs="仿宋_GB2312"/>
                <w:color w:val="auto"/>
                <w:sz w:val="24"/>
                <w:szCs w:val="24"/>
                <w:lang w:eastAsia="zh-CN"/>
              </w:rPr>
              <w:t>级</w:t>
            </w:r>
            <w:r>
              <w:rPr>
                <w:rFonts w:hint="eastAsia" w:ascii="仿宋_GB2312" w:hAnsi="仿宋_GB2312" w:eastAsia="仿宋_GB2312" w:cs="仿宋_GB2312"/>
                <w:color w:val="auto"/>
                <w:sz w:val="24"/>
                <w:szCs w:val="24"/>
                <w:lang w:eastAsia="zh-CN"/>
              </w:rPr>
              <w:t>及以上</w:t>
            </w:r>
            <w:r>
              <w:rPr>
                <w:rFonts w:ascii="仿宋_GB2312" w:hAnsi="仿宋_GB2312" w:eastAsia="仿宋_GB2312" w:cs="仿宋_GB2312"/>
                <w:color w:val="auto"/>
                <w:sz w:val="24"/>
                <w:szCs w:val="24"/>
                <w:lang w:eastAsia="zh-CN"/>
              </w:rPr>
              <w:t>旅游景区气象灾害防御工作</w:t>
            </w:r>
            <w:r>
              <w:rPr>
                <w:rFonts w:hint="eastAsia" w:ascii="仿宋_GB2312" w:hAnsi="仿宋_GB2312" w:eastAsia="仿宋_GB2312" w:cs="仿宋_GB2312"/>
                <w:color w:val="auto"/>
                <w:spacing w:val="-32"/>
                <w:sz w:val="24"/>
                <w:szCs w:val="24"/>
                <w:lang w:eastAsia="zh-CN"/>
              </w:rPr>
              <w:t>，</w:t>
            </w:r>
            <w:r>
              <w:rPr>
                <w:rFonts w:ascii="仿宋_GB2312" w:hAnsi="仿宋_GB2312" w:eastAsia="仿宋_GB2312" w:cs="仿宋_GB2312"/>
                <w:color w:val="auto"/>
                <w:sz w:val="24"/>
                <w:szCs w:val="24"/>
                <w:lang w:eastAsia="zh-CN"/>
              </w:rPr>
              <w:t>明确气象灾害防御重点</w:t>
            </w:r>
            <w:r>
              <w:rPr>
                <w:rFonts w:ascii="仿宋_GB2312" w:hAnsi="仿宋_GB2312" w:eastAsia="仿宋_GB2312" w:cs="仿宋_GB2312"/>
                <w:color w:val="auto"/>
                <w:spacing w:val="-32"/>
                <w:sz w:val="24"/>
                <w:szCs w:val="24"/>
                <w:lang w:eastAsia="zh-CN"/>
              </w:rPr>
              <w:t>；</w:t>
            </w:r>
            <w:r>
              <w:rPr>
                <w:rFonts w:ascii="仿宋_GB2312" w:hAnsi="仿宋_GB2312" w:eastAsia="仿宋_GB2312" w:cs="仿宋_GB2312"/>
                <w:color w:val="auto"/>
                <w:sz w:val="24"/>
                <w:szCs w:val="24"/>
                <w:lang w:eastAsia="zh-CN"/>
              </w:rPr>
              <w:t>配合相关主管部门做好事发地游客</w:t>
            </w:r>
            <w:r>
              <w:rPr>
                <w:rFonts w:hint="default" w:ascii="仿宋_GB2312" w:hAnsi="仿宋_GB2312" w:eastAsia="仿宋_GB2312" w:cs="仿宋_GB2312"/>
                <w:color w:val="auto"/>
                <w:sz w:val="24"/>
                <w:szCs w:val="24"/>
                <w:highlight w:val="none"/>
                <w:lang w:eastAsia="zh-CN"/>
              </w:rPr>
              <w:t>及从业人员</w:t>
            </w:r>
            <w:r>
              <w:rPr>
                <w:rFonts w:ascii="仿宋_GB2312" w:hAnsi="仿宋_GB2312" w:eastAsia="仿宋_GB2312" w:cs="仿宋_GB2312"/>
                <w:color w:val="auto"/>
                <w:sz w:val="24"/>
                <w:szCs w:val="24"/>
                <w:lang w:eastAsia="zh-CN"/>
              </w:rPr>
              <w:t>的紧急疏散和避险工作</w:t>
            </w:r>
            <w:r>
              <w:rPr>
                <w:rFonts w:hint="eastAsia" w:ascii="仿宋_GB2312" w:hAnsi="仿宋_GB2312" w:eastAsia="仿宋_GB2312" w:cs="仿宋_GB2312"/>
                <w:color w:val="auto"/>
                <w:sz w:val="24"/>
                <w:szCs w:val="24"/>
                <w:lang w:eastAsia="zh-CN"/>
              </w:rPr>
              <w:t>。</w:t>
            </w:r>
          </w:p>
        </w:tc>
      </w:tr>
      <w:tr w14:paraId="1B06D3F4">
        <w:tblPrEx>
          <w:tblCellMar>
            <w:top w:w="0" w:type="dxa"/>
            <w:left w:w="0" w:type="dxa"/>
            <w:bottom w:w="0" w:type="dxa"/>
            <w:right w:w="0" w:type="dxa"/>
          </w:tblCellMar>
        </w:tblPrEx>
        <w:trPr>
          <w:trHeight w:val="567" w:hRule="exact"/>
          <w:jc w:val="center"/>
        </w:trPr>
        <w:tc>
          <w:tcPr>
            <w:tcW w:w="2171" w:type="dxa"/>
            <w:tcBorders>
              <w:top w:val="single" w:color="auto" w:sz="4" w:space="0"/>
              <w:left w:val="single" w:color="000000" w:sz="4" w:space="0"/>
              <w:bottom w:val="single" w:color="auto" w:sz="4" w:space="0"/>
              <w:right w:val="single" w:color="000000" w:sz="4" w:space="0"/>
            </w:tcBorders>
            <w:shd w:val="clear" w:color="auto" w:fill="auto"/>
            <w:vAlign w:val="center"/>
          </w:tcPr>
          <w:p w14:paraId="495A791F">
            <w:pPr>
              <w:spacing w:line="400" w:lineRule="exact"/>
              <w:jc w:val="center"/>
              <w:rPr>
                <w:rFonts w:hint="eastAsia" w:ascii="仿宋_GB2312" w:eastAsia="仿宋_GB2312" w:hAnsiTheme="minorHAnsi" w:cstheme="minorBidi"/>
                <w:color w:val="auto"/>
                <w:kern w:val="2"/>
                <w:sz w:val="28"/>
                <w:szCs w:val="28"/>
                <w:lang w:val="en-US" w:eastAsia="zh-CN" w:bidi="ar-SA"/>
              </w:rPr>
            </w:pPr>
            <w:r>
              <w:rPr>
                <w:rFonts w:hint="eastAsia" w:ascii="仿宋_GB2312" w:hAnsi="仿宋_GB2312" w:eastAsia="仿宋_GB2312" w:cs="仿宋_GB2312"/>
                <w:color w:val="auto"/>
                <w:kern w:val="0"/>
                <w:sz w:val="24"/>
                <w:szCs w:val="24"/>
                <w:lang w:val="en-US" w:eastAsia="zh-CN" w:bidi="ar-SA"/>
              </w:rPr>
              <w:t>县商务局</w:t>
            </w:r>
          </w:p>
        </w:tc>
        <w:tc>
          <w:tcPr>
            <w:tcW w:w="11473" w:type="dxa"/>
            <w:tcBorders>
              <w:top w:val="single" w:color="auto" w:sz="4" w:space="0"/>
              <w:left w:val="single" w:color="000000" w:sz="4" w:space="0"/>
              <w:bottom w:val="single" w:color="auto" w:sz="4" w:space="0"/>
              <w:right w:val="single" w:color="000000" w:sz="4" w:space="0"/>
            </w:tcBorders>
            <w:shd w:val="clear" w:color="auto" w:fill="auto"/>
            <w:vAlign w:val="center"/>
          </w:tcPr>
          <w:p w14:paraId="79969217">
            <w:pPr>
              <w:keepNext w:val="0"/>
              <w:keepLines w:val="0"/>
              <w:pageBreakBefore w:val="0"/>
              <w:widowControl w:val="0"/>
              <w:kinsoku/>
              <w:wordWrap/>
              <w:overflowPunct/>
              <w:topLinePunct w:val="0"/>
              <w:autoSpaceDE/>
              <w:autoSpaceDN/>
              <w:bidi w:val="0"/>
              <w:adjustRightInd/>
              <w:snapToGrid/>
              <w:spacing w:line="240" w:lineRule="auto"/>
              <w:ind w:left="102" w:leftChars="0"/>
              <w:jc w:val="left"/>
              <w:textAlignment w:val="auto"/>
              <w:rPr>
                <w:rFonts w:hint="eastAsia" w:ascii="仿宋_GB2312" w:eastAsia="仿宋_GB2312" w:hAnsiTheme="minorHAnsi" w:cstheme="minorBidi"/>
                <w:color w:val="auto"/>
                <w:kern w:val="2"/>
                <w:sz w:val="28"/>
                <w:szCs w:val="28"/>
                <w:lang w:val="en-US" w:eastAsia="zh-CN" w:bidi="ar-SA"/>
              </w:rPr>
            </w:pPr>
            <w:r>
              <w:rPr>
                <w:rFonts w:hint="eastAsia" w:ascii="仿宋_GB2312" w:hAnsi="仿宋_GB2312" w:eastAsia="仿宋_GB2312" w:cs="仿宋_GB2312"/>
                <w:color w:val="auto"/>
                <w:kern w:val="0"/>
                <w:sz w:val="24"/>
                <w:szCs w:val="24"/>
                <w:lang w:val="en-US" w:eastAsia="zh-CN" w:bidi="ar-SA"/>
              </w:rPr>
              <w:t>负责监测市场运行，保障粮、油、肉、蛋、菜、奶等主要生活必需品供应充足。</w:t>
            </w:r>
          </w:p>
        </w:tc>
      </w:tr>
      <w:tr w14:paraId="5B802111">
        <w:tblPrEx>
          <w:tblCellMar>
            <w:top w:w="0" w:type="dxa"/>
            <w:left w:w="0" w:type="dxa"/>
            <w:bottom w:w="0" w:type="dxa"/>
            <w:right w:w="0" w:type="dxa"/>
          </w:tblCellMar>
        </w:tblPrEx>
        <w:trPr>
          <w:trHeight w:val="1134" w:hRule="exact"/>
          <w:jc w:val="center"/>
        </w:trPr>
        <w:tc>
          <w:tcPr>
            <w:tcW w:w="2171" w:type="dxa"/>
            <w:tcBorders>
              <w:top w:val="single" w:color="auto" w:sz="4" w:space="0"/>
              <w:left w:val="single" w:color="auto" w:sz="4" w:space="0"/>
              <w:right w:val="single" w:color="000000" w:sz="4" w:space="0"/>
            </w:tcBorders>
            <w:shd w:val="clear" w:color="auto" w:fill="auto"/>
            <w:vAlign w:val="center"/>
          </w:tcPr>
          <w:p w14:paraId="02490E36">
            <w:pPr>
              <w:pStyle w:val="7"/>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县</w:t>
            </w:r>
            <w:r>
              <w:rPr>
                <w:rFonts w:ascii="仿宋_GB2312" w:hAnsi="仿宋_GB2312" w:eastAsia="仿宋_GB2312" w:cs="仿宋_GB2312"/>
                <w:color w:val="auto"/>
                <w:sz w:val="24"/>
                <w:szCs w:val="24"/>
              </w:rPr>
              <w:t>农业农村</w:t>
            </w:r>
            <w:r>
              <w:rPr>
                <w:rFonts w:hint="eastAsia" w:ascii="仿宋_GB2312" w:hAnsi="仿宋_GB2312" w:eastAsia="仿宋_GB2312" w:cs="仿宋_GB2312"/>
                <w:color w:val="auto"/>
                <w:sz w:val="24"/>
                <w:szCs w:val="24"/>
                <w:lang w:eastAsia="zh-CN"/>
              </w:rPr>
              <w:t>局</w:t>
            </w:r>
          </w:p>
        </w:tc>
        <w:tc>
          <w:tcPr>
            <w:tcW w:w="11473" w:type="dxa"/>
            <w:tcBorders>
              <w:top w:val="single" w:color="auto" w:sz="4" w:space="0"/>
              <w:left w:val="single" w:color="000000" w:sz="4" w:space="0"/>
              <w:bottom w:val="single" w:color="000000" w:sz="4" w:space="0"/>
              <w:right w:val="single" w:color="auto" w:sz="4" w:space="0"/>
            </w:tcBorders>
            <w:shd w:val="clear" w:color="auto" w:fill="auto"/>
            <w:vAlign w:val="center"/>
          </w:tcPr>
          <w:p w14:paraId="01FA0530">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及时向县指挥部提供农牧业生产受气象灾害影响情况，对农业生产及相关设施等采取紧急处置措施，并加强监控；负责组织灾区动物疫病的预防、控制和扑灭工作，加强动物疫情的监测，防止和控制动物疫病的暴发流行。负责农业防御气象灾害和灾后农业救灾恢复生产技术指导。</w:t>
            </w:r>
          </w:p>
        </w:tc>
      </w:tr>
      <w:tr w14:paraId="1289B7F2">
        <w:tblPrEx>
          <w:tblCellMar>
            <w:top w:w="0" w:type="dxa"/>
            <w:left w:w="0" w:type="dxa"/>
            <w:bottom w:w="0" w:type="dxa"/>
            <w:right w:w="0" w:type="dxa"/>
          </w:tblCellMar>
        </w:tblPrEx>
        <w:trPr>
          <w:trHeight w:val="850" w:hRule="exact"/>
          <w:jc w:val="center"/>
        </w:trPr>
        <w:tc>
          <w:tcPr>
            <w:tcW w:w="2171" w:type="dxa"/>
            <w:tcBorders>
              <w:top w:val="single" w:color="000000" w:sz="4" w:space="0"/>
              <w:left w:val="single" w:color="auto" w:sz="4" w:space="0"/>
              <w:bottom w:val="single" w:color="auto" w:sz="4" w:space="0"/>
              <w:right w:val="single" w:color="000000" w:sz="4" w:space="0"/>
            </w:tcBorders>
            <w:shd w:val="clear" w:color="auto" w:fill="auto"/>
            <w:vAlign w:val="center"/>
          </w:tcPr>
          <w:p w14:paraId="6259951F">
            <w:pPr>
              <w:pStyle w:val="7"/>
              <w:spacing w:before="76"/>
              <w:ind w:left="102"/>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县卫生健康</w:t>
            </w:r>
          </w:p>
          <w:p w14:paraId="77DAE2D9">
            <w:pPr>
              <w:pStyle w:val="7"/>
              <w:spacing w:before="76"/>
              <w:ind w:left="102" w:leftChars="0"/>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和体</w:t>
            </w:r>
            <w:r>
              <w:rPr>
                <w:rFonts w:hint="eastAsia" w:ascii="仿宋_GB2312" w:hAnsi="仿宋_GB2312" w:eastAsia="仿宋_GB2312" w:cs="仿宋_GB2312"/>
                <w:color w:val="auto"/>
                <w:sz w:val="24"/>
                <w:szCs w:val="24"/>
              </w:rPr>
              <w:t>育局</w:t>
            </w:r>
          </w:p>
        </w:tc>
        <w:tc>
          <w:tcPr>
            <w:tcW w:w="11473" w:type="dxa"/>
            <w:tcBorders>
              <w:top w:val="single" w:color="000000" w:sz="4" w:space="0"/>
              <w:left w:val="single" w:color="000000" w:sz="4" w:space="0"/>
              <w:bottom w:val="single" w:color="auto" w:sz="4" w:space="0"/>
              <w:right w:val="single" w:color="auto" w:sz="4" w:space="0"/>
            </w:tcBorders>
            <w:shd w:val="clear" w:color="auto" w:fill="auto"/>
            <w:vAlign w:val="center"/>
          </w:tcPr>
          <w:p w14:paraId="4E36C2B8">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负责组织协调辖区内气象灾害发生地伤员救治、卫生防疫和健康教育、风险沟通等紧急医学救援保障工作；根据指令和需求，调动县级、乡（镇）医疗卫生资源，给予指导和援助。</w:t>
            </w:r>
          </w:p>
        </w:tc>
      </w:tr>
      <w:tr w14:paraId="703B8701">
        <w:tblPrEx>
          <w:tblCellMar>
            <w:top w:w="0" w:type="dxa"/>
            <w:left w:w="0" w:type="dxa"/>
            <w:bottom w:w="0" w:type="dxa"/>
            <w:right w:w="0" w:type="dxa"/>
          </w:tblCellMar>
        </w:tblPrEx>
        <w:trPr>
          <w:trHeight w:val="1587" w:hRule="exact"/>
          <w:jc w:val="center"/>
        </w:trPr>
        <w:tc>
          <w:tcPr>
            <w:tcW w:w="2171" w:type="dxa"/>
            <w:tcBorders>
              <w:top w:val="single" w:color="auto" w:sz="4" w:space="0"/>
              <w:left w:val="single" w:color="000000" w:sz="4" w:space="0"/>
              <w:bottom w:val="single" w:color="000000" w:sz="4" w:space="0"/>
              <w:right w:val="single" w:color="000000" w:sz="4" w:space="0"/>
            </w:tcBorders>
            <w:shd w:val="clear" w:color="auto" w:fill="auto"/>
            <w:vAlign w:val="center"/>
          </w:tcPr>
          <w:p w14:paraId="4BF8F5BC">
            <w:pPr>
              <w:pStyle w:val="7"/>
              <w:spacing w:before="19" w:line="200" w:lineRule="exact"/>
              <w:jc w:val="center"/>
              <w:rPr>
                <w:color w:val="auto"/>
                <w:sz w:val="20"/>
                <w:szCs w:val="20"/>
                <w:lang w:eastAsia="zh-CN"/>
              </w:rPr>
            </w:pPr>
          </w:p>
          <w:p w14:paraId="056DF7CD">
            <w:pPr>
              <w:pStyle w:val="7"/>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县应急管理局</w:t>
            </w:r>
          </w:p>
        </w:tc>
        <w:tc>
          <w:tcPr>
            <w:tcW w:w="11473" w:type="dxa"/>
            <w:tcBorders>
              <w:top w:val="single" w:color="auto" w:sz="4" w:space="0"/>
              <w:left w:val="single" w:color="000000" w:sz="4" w:space="0"/>
              <w:bottom w:val="single" w:color="000000" w:sz="4" w:space="0"/>
              <w:right w:val="single" w:color="000000" w:sz="4" w:space="0"/>
            </w:tcBorders>
            <w:shd w:val="clear" w:color="auto" w:fill="auto"/>
            <w:vAlign w:val="center"/>
          </w:tcPr>
          <w:p w14:paraId="6F0426A3">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负责指导各乡（镇）、各部门应对气象灾害等突发事件及开展防灾减灾救灾工作；组织协调灾害救助工作，组织指导灾情核查、损失评估、救灾捐赠工作，管理、分配救灾物资并监督使用，负责组织督促气象灾害影响区域非煤矿山、危险化学品生产经营单位做好安全生产工作；负责矿山领域气象灾害安全风险防范应对，指导矿山企业在气象灾害影响期间的安全生产。</w:t>
            </w:r>
          </w:p>
        </w:tc>
      </w:tr>
      <w:tr w14:paraId="5A6DD39C">
        <w:tblPrEx>
          <w:tblCellMar>
            <w:top w:w="0" w:type="dxa"/>
            <w:left w:w="0" w:type="dxa"/>
            <w:bottom w:w="0" w:type="dxa"/>
            <w:right w:w="0" w:type="dxa"/>
          </w:tblCellMar>
        </w:tblPrEx>
        <w:trPr>
          <w:trHeight w:val="567"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26497">
            <w:pPr>
              <w:pStyle w:val="7"/>
              <w:spacing w:before="18"/>
              <w:jc w:val="center"/>
              <w:rPr>
                <w:rFonts w:hint="eastAsia" w:ascii="仿宋_GB2312" w:hAnsi="仿宋_GB2312" w:eastAsia="仿宋_GB2312" w:cs="仿宋_GB2312"/>
                <w:color w:val="auto"/>
                <w:kern w:val="0"/>
                <w:sz w:val="24"/>
                <w:szCs w:val="24"/>
                <w:lang w:val="en-US" w:eastAsia="zh-CN" w:bidi="ar-SA"/>
              </w:rPr>
            </w:pPr>
            <w:r>
              <w:rPr>
                <w:rFonts w:ascii="黑体" w:hAnsi="黑体" w:eastAsia="黑体" w:cs="黑体"/>
                <w:color w:val="auto"/>
                <w:sz w:val="24"/>
                <w:szCs w:val="24"/>
              </w:rPr>
              <w:t>单位名称</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4F77E">
            <w:pPr>
              <w:pStyle w:val="7"/>
              <w:spacing w:before="18"/>
              <w:ind w:right="5331" w:rightChars="0"/>
              <w:jc w:val="right"/>
              <w:rPr>
                <w:rFonts w:hint="eastAsia" w:ascii="仿宋_GB2312" w:hAnsi="仿宋_GB2312" w:eastAsia="仿宋_GB2312" w:cs="仿宋_GB2312"/>
                <w:color w:val="auto"/>
                <w:kern w:val="0"/>
                <w:sz w:val="24"/>
                <w:szCs w:val="24"/>
                <w:lang w:val="en-US" w:eastAsia="zh-CN" w:bidi="ar-SA"/>
              </w:rPr>
            </w:pPr>
            <w:r>
              <w:rPr>
                <w:rFonts w:ascii="黑体" w:hAnsi="黑体" w:eastAsia="黑体" w:cs="黑体"/>
                <w:color w:val="auto"/>
                <w:sz w:val="24"/>
                <w:szCs w:val="24"/>
              </w:rPr>
              <w:t>主要职责</w:t>
            </w:r>
          </w:p>
        </w:tc>
      </w:tr>
      <w:tr w14:paraId="11E7BAC9">
        <w:tblPrEx>
          <w:tblCellMar>
            <w:top w:w="0" w:type="dxa"/>
            <w:left w:w="0" w:type="dxa"/>
            <w:bottom w:w="0" w:type="dxa"/>
            <w:right w:w="0" w:type="dxa"/>
          </w:tblCellMar>
        </w:tblPrEx>
        <w:trPr>
          <w:trHeight w:val="850"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C31AA">
            <w:pPr>
              <w:pStyle w:val="7"/>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县能源局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F1C6A">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参与协调受灾地区电、油、气保障工作。督促电力企业建立供电应急抢修队伍，储备应急物资，积极配合有关部门进行事故抢险。</w:t>
            </w:r>
          </w:p>
        </w:tc>
      </w:tr>
      <w:tr w14:paraId="7639D133">
        <w:tblPrEx>
          <w:tblCellMar>
            <w:top w:w="0" w:type="dxa"/>
            <w:left w:w="0" w:type="dxa"/>
            <w:bottom w:w="0" w:type="dxa"/>
            <w:right w:w="0" w:type="dxa"/>
          </w:tblCellMar>
        </w:tblPrEx>
        <w:trPr>
          <w:trHeight w:val="1134" w:hRule="exact"/>
          <w:jc w:val="center"/>
        </w:trPr>
        <w:tc>
          <w:tcPr>
            <w:tcW w:w="2171" w:type="dxa"/>
            <w:tcBorders>
              <w:top w:val="single" w:color="000000" w:sz="4" w:space="0"/>
              <w:left w:val="single" w:color="000000" w:sz="4" w:space="0"/>
              <w:right w:val="single" w:color="000000" w:sz="4" w:space="0"/>
            </w:tcBorders>
            <w:shd w:val="clear" w:color="auto" w:fill="auto"/>
            <w:vAlign w:val="center"/>
          </w:tcPr>
          <w:p w14:paraId="16556F2C">
            <w:pPr>
              <w:pStyle w:val="7"/>
              <w:spacing w:before="1" w:line="200" w:lineRule="exact"/>
              <w:jc w:val="center"/>
              <w:rPr>
                <w:color w:val="auto"/>
                <w:sz w:val="20"/>
                <w:szCs w:val="20"/>
                <w:lang w:eastAsia="zh-CN"/>
              </w:rPr>
            </w:pPr>
          </w:p>
          <w:p w14:paraId="379BC1C0">
            <w:pPr>
              <w:pStyle w:val="7"/>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县</w:t>
            </w:r>
            <w:r>
              <w:rPr>
                <w:rFonts w:ascii="仿宋_GB2312" w:hAnsi="仿宋_GB2312" w:eastAsia="仿宋_GB2312" w:cs="仿宋_GB2312"/>
                <w:color w:val="auto"/>
                <w:sz w:val="24"/>
                <w:szCs w:val="24"/>
              </w:rPr>
              <w:t>气象局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DFD3">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ascii="仿宋_GB2312" w:hAnsi="仿宋_GB2312" w:eastAsia="仿宋_GB2312" w:cs="仿宋_GB2312"/>
                <w:color w:val="auto"/>
                <w:kern w:val="0"/>
                <w:sz w:val="24"/>
                <w:szCs w:val="24"/>
                <w:lang w:val="en-US" w:eastAsia="zh-CN" w:bidi="ar-SA"/>
              </w:rPr>
            </w:pPr>
            <w:r>
              <w:rPr>
                <w:rFonts w:ascii="仿宋_GB2312" w:hAnsi="仿宋_GB2312" w:eastAsia="仿宋_GB2312" w:cs="仿宋_GB2312"/>
                <w:color w:val="auto"/>
                <w:sz w:val="24"/>
                <w:szCs w:val="24"/>
                <w:lang w:eastAsia="zh-CN"/>
              </w:rPr>
              <w:t>负责灾害性天气气候的监测</w:t>
            </w:r>
            <w:r>
              <w:rPr>
                <w:rFonts w:ascii="仿宋_GB2312" w:hAnsi="仿宋_GB2312" w:eastAsia="仿宋_GB2312" w:cs="仿宋_GB2312"/>
                <w:color w:val="auto"/>
                <w:spacing w:val="-62"/>
                <w:sz w:val="24"/>
                <w:szCs w:val="24"/>
                <w:lang w:eastAsia="zh-CN"/>
              </w:rPr>
              <w:t>、</w:t>
            </w:r>
            <w:r>
              <w:rPr>
                <w:rFonts w:ascii="仿宋_GB2312" w:hAnsi="仿宋_GB2312" w:eastAsia="仿宋_GB2312" w:cs="仿宋_GB2312"/>
                <w:color w:val="auto"/>
                <w:sz w:val="24"/>
                <w:szCs w:val="24"/>
                <w:lang w:eastAsia="zh-CN"/>
              </w:rPr>
              <w:t>预报和预警</w:t>
            </w:r>
            <w:r>
              <w:rPr>
                <w:rFonts w:ascii="仿宋_GB2312" w:hAnsi="仿宋_GB2312" w:eastAsia="仿宋_GB2312" w:cs="仿宋_GB2312"/>
                <w:color w:val="auto"/>
                <w:spacing w:val="-62"/>
                <w:sz w:val="24"/>
                <w:szCs w:val="24"/>
                <w:lang w:eastAsia="zh-CN"/>
              </w:rPr>
              <w:t>，</w:t>
            </w:r>
            <w:r>
              <w:rPr>
                <w:rFonts w:ascii="仿宋_GB2312" w:hAnsi="仿宋_GB2312" w:eastAsia="仿宋_GB2312" w:cs="仿宋_GB2312"/>
                <w:color w:val="auto"/>
                <w:sz w:val="24"/>
                <w:szCs w:val="24"/>
                <w:lang w:eastAsia="zh-CN"/>
              </w:rPr>
              <w:t>为</w:t>
            </w:r>
            <w:r>
              <w:rPr>
                <w:rFonts w:hint="eastAsia" w:ascii="仿宋_GB2312" w:hAnsi="仿宋_GB2312" w:eastAsia="仿宋_GB2312" w:cs="仿宋_GB2312"/>
                <w:color w:val="auto"/>
                <w:sz w:val="24"/>
                <w:szCs w:val="24"/>
                <w:lang w:eastAsia="zh-CN"/>
              </w:rPr>
              <w:t>县指挥部</w:t>
            </w:r>
            <w:r>
              <w:rPr>
                <w:rFonts w:ascii="仿宋_GB2312" w:hAnsi="仿宋_GB2312" w:eastAsia="仿宋_GB2312" w:cs="仿宋_GB2312"/>
                <w:color w:val="auto"/>
                <w:sz w:val="24"/>
                <w:szCs w:val="24"/>
                <w:lang w:eastAsia="zh-CN"/>
              </w:rPr>
              <w:t>开展气象灾害应急处置</w:t>
            </w:r>
            <w:r>
              <w:rPr>
                <w:rFonts w:ascii="仿宋_GB2312" w:hAnsi="仿宋_GB2312" w:eastAsia="仿宋_GB2312" w:cs="仿宋_GB2312"/>
                <w:color w:val="auto"/>
                <w:spacing w:val="-62"/>
                <w:sz w:val="24"/>
                <w:szCs w:val="24"/>
                <w:lang w:eastAsia="zh-CN"/>
              </w:rPr>
              <w:t>、</w:t>
            </w:r>
            <w:r>
              <w:rPr>
                <w:rFonts w:ascii="仿宋_GB2312" w:hAnsi="仿宋_GB2312" w:eastAsia="仿宋_GB2312" w:cs="仿宋_GB2312"/>
                <w:color w:val="auto"/>
                <w:sz w:val="24"/>
                <w:szCs w:val="24"/>
                <w:lang w:eastAsia="zh-CN"/>
              </w:rPr>
              <w:t>防灾减灾提供决策依据和建议；负责组织气象灾害监测</w:t>
            </w:r>
            <w:r>
              <w:rPr>
                <w:rFonts w:ascii="仿宋_GB2312" w:hAnsi="仿宋_GB2312" w:eastAsia="仿宋_GB2312" w:cs="仿宋_GB2312"/>
                <w:color w:val="auto"/>
                <w:spacing w:val="-16"/>
                <w:sz w:val="24"/>
                <w:szCs w:val="24"/>
                <w:lang w:eastAsia="zh-CN"/>
              </w:rPr>
              <w:t>、</w:t>
            </w:r>
            <w:r>
              <w:rPr>
                <w:rFonts w:ascii="仿宋_GB2312" w:hAnsi="仿宋_GB2312" w:eastAsia="仿宋_GB2312" w:cs="仿宋_GB2312"/>
                <w:color w:val="auto"/>
                <w:sz w:val="24"/>
                <w:szCs w:val="24"/>
                <w:lang w:eastAsia="zh-CN"/>
              </w:rPr>
              <w:t>影响等信息的收集</w:t>
            </w:r>
            <w:r>
              <w:rPr>
                <w:rFonts w:ascii="仿宋_GB2312" w:hAnsi="仿宋_GB2312" w:eastAsia="仿宋_GB2312" w:cs="仿宋_GB2312"/>
                <w:color w:val="auto"/>
                <w:spacing w:val="-16"/>
                <w:sz w:val="24"/>
                <w:szCs w:val="24"/>
                <w:lang w:eastAsia="zh-CN"/>
              </w:rPr>
              <w:t>、</w:t>
            </w:r>
            <w:r>
              <w:rPr>
                <w:rFonts w:ascii="仿宋_GB2312" w:hAnsi="仿宋_GB2312" w:eastAsia="仿宋_GB2312" w:cs="仿宋_GB2312"/>
                <w:color w:val="auto"/>
                <w:sz w:val="24"/>
                <w:szCs w:val="24"/>
                <w:lang w:eastAsia="zh-CN"/>
              </w:rPr>
              <w:t>分析和上报工作</w:t>
            </w:r>
            <w:r>
              <w:rPr>
                <w:rFonts w:ascii="仿宋_GB2312" w:hAnsi="仿宋_GB2312" w:eastAsia="仿宋_GB2312" w:cs="仿宋_GB2312"/>
                <w:color w:val="auto"/>
                <w:spacing w:val="-16"/>
                <w:sz w:val="24"/>
                <w:szCs w:val="24"/>
                <w:lang w:eastAsia="zh-CN"/>
              </w:rPr>
              <w:t>；</w:t>
            </w:r>
            <w:r>
              <w:rPr>
                <w:rFonts w:ascii="仿宋_GB2312" w:hAnsi="仿宋_GB2312" w:eastAsia="仿宋_GB2312" w:cs="仿宋_GB2312"/>
                <w:color w:val="auto"/>
                <w:sz w:val="24"/>
                <w:szCs w:val="24"/>
                <w:lang w:eastAsia="zh-CN"/>
              </w:rPr>
              <w:t>组织实施人工影响天气作业</w:t>
            </w:r>
            <w:r>
              <w:rPr>
                <w:rFonts w:ascii="仿宋_GB2312" w:hAnsi="仿宋_GB2312" w:eastAsia="仿宋_GB2312" w:cs="仿宋_GB2312"/>
                <w:color w:val="auto"/>
                <w:spacing w:val="-16"/>
                <w:sz w:val="24"/>
                <w:szCs w:val="24"/>
                <w:lang w:eastAsia="zh-CN"/>
              </w:rPr>
              <w:t>；</w:t>
            </w:r>
            <w:r>
              <w:rPr>
                <w:rFonts w:ascii="仿宋_GB2312" w:hAnsi="仿宋_GB2312" w:eastAsia="仿宋_GB2312" w:cs="仿宋_GB2312"/>
                <w:color w:val="auto"/>
                <w:sz w:val="24"/>
                <w:szCs w:val="24"/>
                <w:lang w:eastAsia="zh-CN"/>
              </w:rPr>
              <w:t>承担</w:t>
            </w:r>
            <w:r>
              <w:rPr>
                <w:rFonts w:hint="eastAsia" w:ascii="仿宋_GB2312" w:hAnsi="仿宋_GB2312" w:eastAsia="仿宋_GB2312" w:cs="仿宋_GB2312"/>
                <w:color w:val="auto"/>
                <w:sz w:val="24"/>
                <w:szCs w:val="24"/>
                <w:lang w:eastAsia="zh-CN"/>
              </w:rPr>
              <w:t>县指挥部</w:t>
            </w:r>
            <w:r>
              <w:rPr>
                <w:rFonts w:ascii="仿宋_GB2312" w:hAnsi="仿宋_GB2312" w:eastAsia="仿宋_GB2312" w:cs="仿宋_GB2312"/>
                <w:color w:val="auto"/>
                <w:sz w:val="24"/>
                <w:szCs w:val="24"/>
                <w:lang w:eastAsia="zh-CN"/>
              </w:rPr>
              <w:t>办公室职责</w:t>
            </w:r>
            <w:r>
              <w:rPr>
                <w:rFonts w:hint="eastAsia" w:ascii="仿宋_GB2312" w:hAnsi="仿宋_GB2312" w:eastAsia="仿宋_GB2312" w:cs="仿宋_GB2312"/>
                <w:color w:val="auto"/>
                <w:sz w:val="24"/>
                <w:szCs w:val="24"/>
                <w:lang w:eastAsia="zh-CN"/>
              </w:rPr>
              <w:t>。</w:t>
            </w:r>
          </w:p>
        </w:tc>
      </w:tr>
      <w:tr w14:paraId="47181D8A">
        <w:tblPrEx>
          <w:tblCellMar>
            <w:top w:w="0" w:type="dxa"/>
            <w:left w:w="0" w:type="dxa"/>
            <w:bottom w:w="0" w:type="dxa"/>
            <w:right w:w="0" w:type="dxa"/>
          </w:tblCellMar>
        </w:tblPrEx>
        <w:trPr>
          <w:trHeight w:val="850"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A51AF">
            <w:pPr>
              <w:spacing w:line="240" w:lineRule="auto"/>
              <w:jc w:val="center"/>
              <w:rPr>
                <w:rFonts w:hint="eastAsia" w:ascii="仿宋_GB2312" w:hAnsi="仿宋_GB2312" w:eastAsia="仿宋_GB2312" w:cs="仿宋_GB2312"/>
                <w:color w:val="auto"/>
                <w:kern w:val="0"/>
                <w:sz w:val="20"/>
                <w:szCs w:val="20"/>
                <w:lang w:val="en-US" w:eastAsia="zh-CN" w:bidi="ar-SA"/>
              </w:rPr>
            </w:pPr>
            <w:r>
              <w:rPr>
                <w:rFonts w:hint="eastAsia" w:ascii="仿宋_GB2312" w:hAnsi="仿宋_GB2312" w:eastAsia="仿宋_GB2312" w:cs="仿宋_GB2312"/>
                <w:color w:val="auto"/>
                <w:kern w:val="0"/>
                <w:sz w:val="20"/>
                <w:szCs w:val="20"/>
                <w:lang w:val="en-US" w:eastAsia="zh-CN" w:bidi="ar-SA"/>
              </w:rPr>
              <w:t>国家金融监督管理总局</w:t>
            </w:r>
          </w:p>
          <w:p w14:paraId="6C18ECB2">
            <w:pPr>
              <w:spacing w:line="240" w:lineRule="auto"/>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0"/>
                <w:szCs w:val="20"/>
                <w:lang w:val="en-US" w:eastAsia="zh-CN" w:bidi="ar-SA"/>
              </w:rPr>
              <w:t>盂县监管</w:t>
            </w:r>
            <w:r>
              <w:rPr>
                <w:rFonts w:hint="default" w:ascii="仿宋_GB2312" w:hAnsi="仿宋_GB2312" w:eastAsia="仿宋_GB2312" w:cs="仿宋_GB2312"/>
                <w:color w:val="auto"/>
                <w:kern w:val="0"/>
                <w:sz w:val="20"/>
                <w:szCs w:val="20"/>
                <w:lang w:val="en-US" w:eastAsia="en-US" w:bidi="ar-SA"/>
              </w:rPr>
              <w:t>支局</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5BE46">
            <w:pPr>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hint="eastAsia" w:ascii="仿宋_GB2312" w:hAnsi="仿宋_GB2312" w:eastAsia="仿宋_GB2312" w:cs="仿宋_GB2312"/>
                <w:b w:val="0"/>
                <w:color w:val="auto"/>
                <w:kern w:val="0"/>
                <w:sz w:val="24"/>
                <w:szCs w:val="24"/>
                <w:lang w:val="en-US" w:eastAsia="zh-CN" w:bidi="ar-SA"/>
              </w:rPr>
            </w:pPr>
            <w:r>
              <w:rPr>
                <w:rFonts w:hint="eastAsia" w:ascii="仿宋_GB2312" w:hAnsi="仿宋_GB2312" w:eastAsia="仿宋_GB2312" w:cs="仿宋_GB2312"/>
                <w:color w:val="auto"/>
                <w:kern w:val="0"/>
                <w:sz w:val="24"/>
                <w:szCs w:val="24"/>
                <w:lang w:val="en-US" w:eastAsia="zh-CN" w:bidi="ar-SA"/>
              </w:rPr>
              <w:t>负责督促、指导承保保险公司及时开展投保伤亡人员和受损财产的查勘和理赔工作。</w:t>
            </w:r>
          </w:p>
        </w:tc>
      </w:tr>
      <w:tr w14:paraId="357BE278">
        <w:tblPrEx>
          <w:tblCellMar>
            <w:top w:w="0" w:type="dxa"/>
            <w:left w:w="0" w:type="dxa"/>
            <w:bottom w:w="0" w:type="dxa"/>
            <w:right w:w="0" w:type="dxa"/>
          </w:tblCellMar>
        </w:tblPrEx>
        <w:trPr>
          <w:trHeight w:val="567"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E88E4">
            <w:pPr>
              <w:spacing w:line="400" w:lineRule="exact"/>
              <w:jc w:val="center"/>
              <w:rPr>
                <w:rFonts w:hint="eastAsia" w:ascii="仿宋_GB2312" w:hAnsi="仿宋_GB2312" w:eastAsia="仿宋_GB2312" w:cs="仿宋_GB2312"/>
                <w:color w:val="auto"/>
                <w:kern w:val="0"/>
                <w:sz w:val="24"/>
                <w:szCs w:val="24"/>
                <w:lang w:val="en-US" w:eastAsia="en-US" w:bidi="ar-SA"/>
              </w:rPr>
            </w:pPr>
            <w:r>
              <w:rPr>
                <w:rFonts w:hint="eastAsia" w:ascii="仿宋_GB2312" w:hAnsi="仿宋_GB2312" w:eastAsia="仿宋_GB2312" w:cs="仿宋_GB2312"/>
                <w:color w:val="auto"/>
                <w:kern w:val="0"/>
                <w:sz w:val="24"/>
                <w:szCs w:val="24"/>
                <w:lang w:val="en-US" w:eastAsia="zh-CN" w:bidi="ar-SA"/>
              </w:rPr>
              <w:t>县消防救援大队</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DA66D">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lang w:val="en-US" w:eastAsia="zh-CN" w:bidi="ar-SA"/>
              </w:rPr>
              <w:t>负责灾害发生地的消防救援工作。</w:t>
            </w:r>
          </w:p>
        </w:tc>
      </w:tr>
      <w:tr w14:paraId="761F2F71">
        <w:tblPrEx>
          <w:tblCellMar>
            <w:top w:w="0" w:type="dxa"/>
            <w:left w:w="0" w:type="dxa"/>
            <w:bottom w:w="0" w:type="dxa"/>
            <w:right w:w="0" w:type="dxa"/>
          </w:tblCellMar>
        </w:tblPrEx>
        <w:trPr>
          <w:trHeight w:val="1134"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71FBB">
            <w:pPr>
              <w:pStyle w:val="7"/>
              <w:spacing w:before="76"/>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rPr>
              <w:t>县融媒体中心</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3145C">
            <w:pPr>
              <w:pStyle w:val="7"/>
              <w:keepNext w:val="0"/>
              <w:keepLines w:val="0"/>
              <w:pageBreakBefore w:val="0"/>
              <w:widowControl w:val="0"/>
              <w:kinsoku/>
              <w:wordWrap/>
              <w:overflowPunct/>
              <w:topLinePunct w:val="0"/>
              <w:autoSpaceDE/>
              <w:autoSpaceDN/>
              <w:bidi w:val="0"/>
              <w:adjustRightInd/>
              <w:snapToGrid/>
              <w:spacing w:line="240" w:lineRule="auto"/>
              <w:ind w:left="102" w:leftChars="0" w:right="0" w:rightChars="0"/>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lang w:val="en-US" w:eastAsia="zh-CN" w:bidi="ar-SA"/>
              </w:rPr>
              <w:t>协助指导广</w:t>
            </w:r>
            <w:r>
              <w:rPr>
                <w:rFonts w:hint="eastAsia" w:ascii="仿宋_GB2312" w:hAnsi="仿宋_GB2312" w:eastAsia="仿宋_GB2312" w:cs="仿宋_GB2312"/>
                <w:color w:val="auto"/>
                <w:sz w:val="24"/>
                <w:szCs w:val="24"/>
                <w:lang w:val="en-US" w:eastAsia="zh-CN"/>
              </w:rPr>
              <w:t>播电视机构做好气象灾害信息的发布工作，做好广播电视关于气象灾害的科普宣传和新闻报道</w:t>
            </w:r>
            <w:r>
              <w:rPr>
                <w:rFonts w:hint="eastAsia" w:ascii="仿宋_GB2312" w:hAnsi="仿宋_GB2312" w:eastAsia="仿宋_GB2312" w:cs="仿宋_GB2312"/>
                <w:color w:val="auto"/>
                <w:sz w:val="24"/>
                <w:szCs w:val="24"/>
                <w:lang w:eastAsia="zh-CN"/>
              </w:rPr>
              <w:t>。及时滚动播发气象灾害预警</w:t>
            </w:r>
            <w:r>
              <w:rPr>
                <w:rFonts w:hint="eastAsia" w:ascii="仿宋_GB2312" w:hAnsi="仿宋_GB2312" w:eastAsia="仿宋_GB2312" w:cs="仿宋_GB2312"/>
                <w:color w:val="auto"/>
                <w:sz w:val="24"/>
                <w:szCs w:val="24"/>
                <w:lang w:val="en-US" w:eastAsia="zh-CN"/>
              </w:rPr>
              <w:t>信号</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承担报纸、新媒体等平台的气象灾害信息发布工作，做好关于气象灾害的科普宣传和新闻报道</w:t>
            </w:r>
            <w:r>
              <w:rPr>
                <w:rFonts w:hint="eastAsia" w:ascii="仿宋_GB2312" w:hAnsi="仿宋_GB2312" w:eastAsia="仿宋_GB2312" w:cs="仿宋_GB2312"/>
                <w:color w:val="auto"/>
                <w:sz w:val="24"/>
                <w:szCs w:val="24"/>
                <w:lang w:eastAsia="zh-CN"/>
              </w:rPr>
              <w:t>。</w:t>
            </w:r>
          </w:p>
        </w:tc>
      </w:tr>
      <w:tr w14:paraId="467A5275">
        <w:tblPrEx>
          <w:tblCellMar>
            <w:top w:w="0" w:type="dxa"/>
            <w:left w:w="0" w:type="dxa"/>
            <w:bottom w:w="0" w:type="dxa"/>
            <w:right w:w="0" w:type="dxa"/>
          </w:tblCellMar>
        </w:tblPrEx>
        <w:trPr>
          <w:trHeight w:val="1134"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35D13">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中国铁路北京局集团</w:t>
            </w:r>
          </w:p>
          <w:p w14:paraId="3D993F68">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有限公司</w:t>
            </w:r>
          </w:p>
          <w:p w14:paraId="1060BBE4">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0"/>
                <w:szCs w:val="20"/>
                <w:lang w:val="en-US" w:eastAsia="zh-CN"/>
              </w:rPr>
              <w:t>阳泉北站</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024A2">
            <w:pPr>
              <w:pStyle w:val="7"/>
              <w:keepNext w:val="0"/>
              <w:keepLines w:val="0"/>
              <w:pageBreakBefore w:val="0"/>
              <w:widowControl w:val="0"/>
              <w:kinsoku/>
              <w:wordWrap/>
              <w:overflowPunct/>
              <w:topLinePunct w:val="0"/>
              <w:autoSpaceDE/>
              <w:autoSpaceDN/>
              <w:bidi w:val="0"/>
              <w:adjustRightInd/>
              <w:snapToGrid/>
              <w:ind w:left="102" w:leftChars="0" w:right="0" w:rightChars="0"/>
              <w:jc w:val="both"/>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sz w:val="24"/>
                <w:szCs w:val="24"/>
                <w:lang w:eastAsia="zh-CN"/>
              </w:rPr>
              <w:t>负责协调恢复被破坏的铁路和有关设施，组织运力做好抢险救援人员、物资和灾民疏散等铁路运输工作。</w:t>
            </w:r>
          </w:p>
        </w:tc>
      </w:tr>
      <w:tr w14:paraId="5C5EEC51">
        <w:tblPrEx>
          <w:tblCellMar>
            <w:top w:w="0" w:type="dxa"/>
            <w:left w:w="0" w:type="dxa"/>
            <w:bottom w:w="0" w:type="dxa"/>
            <w:right w:w="0" w:type="dxa"/>
          </w:tblCellMar>
        </w:tblPrEx>
        <w:trPr>
          <w:trHeight w:val="567"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517F1">
            <w:pPr>
              <w:pStyle w:val="7"/>
              <w:spacing w:before="76"/>
              <w:ind w:left="0" w:leftChars="0"/>
              <w:jc w:val="center"/>
              <w:rPr>
                <w:rFonts w:hint="eastAsia" w:ascii="仿宋_GB2312" w:hAnsi="仿宋_GB2312" w:eastAsia="仿宋_GB2312" w:cs="仿宋_GB2312"/>
                <w:color w:val="auto"/>
                <w:spacing w:val="0"/>
                <w:kern w:val="0"/>
                <w:sz w:val="24"/>
                <w:szCs w:val="24"/>
                <w:lang w:val="en-US" w:eastAsia="en-US" w:bidi="ar-SA"/>
              </w:rPr>
            </w:pPr>
            <w:r>
              <w:rPr>
                <w:rFonts w:hint="eastAsia" w:ascii="仿宋_GB2312" w:hAnsi="仿宋_GB2312" w:eastAsia="仿宋_GB2312" w:cs="仿宋_GB2312"/>
                <w:color w:val="auto"/>
                <w:sz w:val="24"/>
                <w:szCs w:val="24"/>
              </w:rPr>
              <w:t>县人武部</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FC8EF">
            <w:pPr>
              <w:pStyle w:val="7"/>
              <w:keepNext w:val="0"/>
              <w:keepLines w:val="0"/>
              <w:pageBreakBefore w:val="0"/>
              <w:widowControl w:val="0"/>
              <w:kinsoku/>
              <w:wordWrap/>
              <w:overflowPunct/>
              <w:topLinePunct w:val="0"/>
              <w:autoSpaceDE/>
              <w:autoSpaceDN/>
              <w:bidi w:val="0"/>
              <w:adjustRightInd/>
              <w:snapToGrid/>
              <w:ind w:left="102" w:leftChars="0"/>
              <w:jc w:val="both"/>
              <w:textAlignment w:val="auto"/>
              <w:rPr>
                <w:rFonts w:hint="eastAsia" w:ascii="仿宋_GB2312" w:hAnsi="仿宋_GB2312" w:eastAsia="仿宋_GB2312" w:cs="仿宋_GB2312"/>
                <w:color w:val="auto"/>
                <w:spacing w:val="0"/>
                <w:kern w:val="0"/>
                <w:sz w:val="24"/>
                <w:szCs w:val="24"/>
                <w:lang w:val="en-US" w:eastAsia="zh-CN" w:bidi="ar-SA"/>
              </w:rPr>
            </w:pPr>
            <w:r>
              <w:rPr>
                <w:rFonts w:hint="eastAsia" w:ascii="仿宋_GB2312" w:hAnsi="仿宋_GB2312" w:eastAsia="仿宋_GB2312" w:cs="仿宋_GB2312"/>
                <w:color w:val="auto"/>
                <w:sz w:val="24"/>
                <w:szCs w:val="24"/>
                <w:lang w:eastAsia="zh-CN"/>
              </w:rPr>
              <w:t>负责组织民兵参加突发地质灾害的应急救援。</w:t>
            </w:r>
            <w:r>
              <w:rPr>
                <w:rFonts w:hint="eastAsia" w:ascii="仿宋_GB2312" w:hAnsi="仿宋_GB2312" w:eastAsia="仿宋_GB2312" w:cs="仿宋_GB2312"/>
                <w:color w:val="auto"/>
                <w:sz w:val="24"/>
                <w:szCs w:val="24"/>
                <w:lang w:val="en-US" w:eastAsia="zh-CN"/>
              </w:rPr>
              <w:t>协助做好人工影响天气设备调配及储存</w:t>
            </w:r>
            <w:r>
              <w:rPr>
                <w:rFonts w:hint="eastAsia" w:ascii="仿宋_GB2312" w:hAnsi="仿宋_GB2312" w:eastAsia="仿宋_GB2312" w:cs="仿宋_GB2312"/>
                <w:color w:val="auto"/>
                <w:sz w:val="24"/>
                <w:szCs w:val="24"/>
                <w:lang w:eastAsia="zh-CN"/>
              </w:rPr>
              <w:t>。</w:t>
            </w:r>
          </w:p>
        </w:tc>
      </w:tr>
      <w:tr w14:paraId="4DB0E5EC">
        <w:tblPrEx>
          <w:tblCellMar>
            <w:top w:w="0" w:type="dxa"/>
            <w:left w:w="0" w:type="dxa"/>
            <w:bottom w:w="0" w:type="dxa"/>
            <w:right w:w="0" w:type="dxa"/>
          </w:tblCellMar>
        </w:tblPrEx>
        <w:trPr>
          <w:trHeight w:val="1134" w:hRule="exact"/>
          <w:jc w:val="center"/>
        </w:trPr>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02765">
            <w:pPr>
              <w:pStyle w:val="7"/>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color w:val="auto"/>
                <w:spacing w:val="0"/>
                <w:sz w:val="20"/>
                <w:szCs w:val="20"/>
                <w:lang w:eastAsia="zh-CN"/>
              </w:rPr>
            </w:pPr>
            <w:r>
              <w:rPr>
                <w:rFonts w:hint="eastAsia" w:ascii="仿宋_GB2312" w:hAnsi="仿宋_GB2312" w:eastAsia="仿宋_GB2312" w:cs="仿宋_GB2312"/>
                <w:color w:val="auto"/>
                <w:spacing w:val="0"/>
                <w:sz w:val="20"/>
                <w:szCs w:val="20"/>
                <w:lang w:eastAsia="zh-CN"/>
              </w:rPr>
              <w:t>中国移动</w:t>
            </w:r>
            <w:r>
              <w:rPr>
                <w:rFonts w:hint="eastAsia" w:ascii="仿宋_GB2312" w:hAnsi="仿宋_GB2312" w:eastAsia="仿宋_GB2312" w:cs="仿宋_GB2312"/>
                <w:color w:val="auto"/>
                <w:spacing w:val="0"/>
                <w:sz w:val="20"/>
                <w:szCs w:val="20"/>
                <w:lang w:val="en-US" w:eastAsia="zh-CN"/>
              </w:rPr>
              <w:t>盂县</w:t>
            </w:r>
            <w:r>
              <w:rPr>
                <w:rFonts w:hint="eastAsia" w:ascii="仿宋_GB2312" w:hAnsi="仿宋_GB2312" w:eastAsia="仿宋_GB2312" w:cs="仿宋_GB2312"/>
                <w:color w:val="auto"/>
                <w:spacing w:val="0"/>
                <w:sz w:val="20"/>
                <w:szCs w:val="20"/>
                <w:lang w:eastAsia="zh-CN"/>
              </w:rPr>
              <w:t>分公司</w:t>
            </w:r>
          </w:p>
          <w:p w14:paraId="53A10C57">
            <w:pPr>
              <w:pStyle w:val="7"/>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color w:val="auto"/>
                <w:spacing w:val="0"/>
                <w:sz w:val="20"/>
                <w:szCs w:val="20"/>
                <w:lang w:eastAsia="zh-CN"/>
              </w:rPr>
            </w:pPr>
            <w:r>
              <w:rPr>
                <w:rFonts w:hint="eastAsia" w:ascii="仿宋_GB2312" w:hAnsi="仿宋_GB2312" w:eastAsia="仿宋_GB2312" w:cs="仿宋_GB2312"/>
                <w:color w:val="auto"/>
                <w:spacing w:val="0"/>
                <w:sz w:val="20"/>
                <w:szCs w:val="20"/>
                <w:lang w:eastAsia="zh-CN"/>
              </w:rPr>
              <w:t>中国联通</w:t>
            </w:r>
            <w:r>
              <w:rPr>
                <w:rFonts w:hint="eastAsia" w:ascii="仿宋_GB2312" w:hAnsi="仿宋_GB2312" w:eastAsia="仿宋_GB2312" w:cs="仿宋_GB2312"/>
                <w:color w:val="auto"/>
                <w:spacing w:val="0"/>
                <w:sz w:val="20"/>
                <w:szCs w:val="20"/>
                <w:lang w:val="en-US" w:eastAsia="zh-CN"/>
              </w:rPr>
              <w:t>盂县</w:t>
            </w:r>
            <w:r>
              <w:rPr>
                <w:rFonts w:hint="eastAsia" w:ascii="仿宋_GB2312" w:hAnsi="仿宋_GB2312" w:eastAsia="仿宋_GB2312" w:cs="仿宋_GB2312"/>
                <w:color w:val="auto"/>
                <w:spacing w:val="0"/>
                <w:sz w:val="20"/>
                <w:szCs w:val="20"/>
                <w:lang w:eastAsia="zh-CN"/>
              </w:rPr>
              <w:t>分公司</w:t>
            </w:r>
          </w:p>
          <w:p w14:paraId="618DE4C9">
            <w:pPr>
              <w:pStyle w:val="7"/>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color w:val="auto"/>
                <w:spacing w:val="0"/>
                <w:kern w:val="0"/>
                <w:sz w:val="18"/>
                <w:szCs w:val="18"/>
                <w:lang w:val="en-US" w:eastAsia="en-US" w:bidi="ar-SA"/>
              </w:rPr>
            </w:pPr>
            <w:r>
              <w:rPr>
                <w:rFonts w:hint="eastAsia" w:ascii="仿宋_GB2312" w:hAnsi="仿宋_GB2312" w:eastAsia="仿宋_GB2312" w:cs="仿宋_GB2312"/>
                <w:color w:val="auto"/>
                <w:spacing w:val="0"/>
                <w:sz w:val="20"/>
                <w:szCs w:val="20"/>
                <w:lang w:eastAsia="zh-CN"/>
              </w:rPr>
              <w:t>中国电信</w:t>
            </w:r>
            <w:r>
              <w:rPr>
                <w:rFonts w:hint="eastAsia" w:ascii="仿宋_GB2312" w:hAnsi="仿宋_GB2312" w:eastAsia="仿宋_GB2312" w:cs="仿宋_GB2312"/>
                <w:color w:val="auto"/>
                <w:spacing w:val="0"/>
                <w:sz w:val="20"/>
                <w:szCs w:val="20"/>
                <w:lang w:val="en-US" w:eastAsia="zh-CN"/>
              </w:rPr>
              <w:t>盂县</w:t>
            </w:r>
            <w:r>
              <w:rPr>
                <w:rFonts w:hint="eastAsia" w:ascii="仿宋_GB2312" w:hAnsi="仿宋_GB2312" w:eastAsia="仿宋_GB2312" w:cs="仿宋_GB2312"/>
                <w:color w:val="auto"/>
                <w:spacing w:val="0"/>
                <w:sz w:val="20"/>
                <w:szCs w:val="20"/>
                <w:lang w:eastAsia="zh-CN"/>
              </w:rPr>
              <w:t>分公司</w:t>
            </w:r>
          </w:p>
        </w:tc>
        <w:tc>
          <w:tcPr>
            <w:tcW w:w="1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2E311">
            <w:pPr>
              <w:pStyle w:val="7"/>
              <w:keepNext w:val="0"/>
              <w:keepLines w:val="0"/>
              <w:pageBreakBefore w:val="0"/>
              <w:widowControl w:val="0"/>
              <w:kinsoku/>
              <w:wordWrap/>
              <w:overflowPunct/>
              <w:topLinePunct w:val="0"/>
              <w:autoSpaceDE/>
              <w:autoSpaceDN/>
              <w:bidi w:val="0"/>
              <w:adjustRightInd/>
              <w:snapToGrid/>
              <w:ind w:left="102" w:leftChars="0"/>
              <w:jc w:val="both"/>
              <w:textAlignment w:val="auto"/>
              <w:rPr>
                <w:rFonts w:hint="eastAsia" w:ascii="仿宋_GB2312" w:hAnsi="仿宋_GB2312" w:eastAsia="仿宋_GB2312" w:cs="仿宋_GB2312"/>
                <w:color w:val="auto"/>
                <w:spacing w:val="0"/>
                <w:kern w:val="0"/>
                <w:sz w:val="18"/>
                <w:szCs w:val="18"/>
                <w:lang w:val="en-US" w:eastAsia="zh-CN" w:bidi="ar-SA"/>
              </w:rPr>
            </w:pPr>
            <w:r>
              <w:rPr>
                <w:rFonts w:hint="eastAsia" w:ascii="仿宋_GB2312" w:hAnsi="仿宋_GB2312" w:eastAsia="仿宋_GB2312" w:cs="仿宋_GB2312"/>
                <w:color w:val="auto"/>
                <w:sz w:val="24"/>
                <w:szCs w:val="24"/>
                <w:lang w:eastAsia="zh-CN"/>
              </w:rPr>
              <w:t>负责组织做好通信保障应急工作，必要时组织应急预警短信的全网发送工作。</w:t>
            </w:r>
          </w:p>
        </w:tc>
      </w:tr>
    </w:tbl>
    <w:p w14:paraId="144F0F7C">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9E6B6E"/>
    <w:rsid w:val="139E6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9"/>
    <w:pPr>
      <w:spacing w:beforeAutospacing="1" w:afterAutospacing="1"/>
      <w:outlineLvl w:val="2"/>
    </w:pPr>
    <w:rPr>
      <w:rFonts w:hint="eastAsia" w:ascii="宋体" w:hAnsi="宋体" w:eastAsia="宋体" w:cs="Times New Roman"/>
      <w:sz w:val="18"/>
      <w:szCs w:val="18"/>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99"/>
    <w:pPr>
      <w:tabs>
        <w:tab w:val="center" w:pos="4153"/>
        <w:tab w:val="right" w:pos="8306"/>
      </w:tabs>
      <w:snapToGrid w:val="0"/>
      <w:jc w:val="left"/>
    </w:pPr>
    <w:rPr>
      <w:sz w:val="18"/>
      <w:szCs w:val="18"/>
    </w:rPr>
  </w:style>
  <w:style w:type="paragraph" w:customStyle="1" w:styleId="7">
    <w:name w:val="Table Paragraph"/>
    <w:basedOn w:val="1"/>
    <w:qFormat/>
    <w:uiPriority w:val="1"/>
    <w:pPr>
      <w:jc w:val="left"/>
    </w:pPr>
    <w:rPr>
      <w:kern w:val="0"/>
      <w:sz w:val="22"/>
      <w:szCs w:val="22"/>
      <w:lang w:eastAsia="en-US"/>
    </w:rPr>
  </w:style>
  <w:style w:type="table" w:customStyle="1" w:styleId="8">
    <w:name w:val="Table Normal"/>
    <w:semiHidden/>
    <w:unhideWhenUsed/>
    <w:qFormat/>
    <w:uiPriority w:val="2"/>
    <w:pPr>
      <w:widowControl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2025-09-28T02:15:00Z</dcterms:created>
  <dc:creator>赵瑞</dc:creator>
  <cp:lastModifiedBy>赵瑞</cp:lastModifiedBy>
  <dcterms:modified xsi:type="dcterms:W3CDTF">2025-09-28T02:17:18Z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B41A07C288504933817CF151FFFB1A42_11</vt:lpwstr>
  </property>
  <property fmtid="{D5CDD505-2E9C-101B-9397-08002B2CF9AE}" pid="4" name="KSOTemplateDocerSaveRecord">
    <vt:lpwstr>eyJoZGlkIjoiNTU2NThhMjJjODgyYTY4ZGM1ZDk3MWMwZDkxYmVhN2QiLCJ1c2VySWQiOiIxMDU2OTA0NDYyIn0=</vt:lpwstr>
  </property>
</Properties>
</file>